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e anistia de taxas municipais às Associações de Moradores e entidades congêneres regularmente ativas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