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22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472/2025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472/2025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isenção e anistia de taxas municipais às Associações de Moradores e entidades congêneres regularmente ativas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