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9668A3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AA26E1">
        <w:rPr>
          <w:sz w:val="28"/>
          <w:szCs w:val="28"/>
        </w:rPr>
        <w:t>cata treco</w:t>
      </w:r>
      <w:r w:rsidR="004F3932">
        <w:rPr>
          <w:sz w:val="28"/>
          <w:szCs w:val="28"/>
        </w:rPr>
        <w:t xml:space="preserve"> na </w:t>
      </w:r>
      <w:r w:rsidR="00BE380F">
        <w:rPr>
          <w:sz w:val="28"/>
          <w:szCs w:val="28"/>
        </w:rPr>
        <w:t xml:space="preserve">Rua </w:t>
      </w:r>
      <w:r w:rsidR="007502B1">
        <w:rPr>
          <w:sz w:val="28"/>
          <w:szCs w:val="28"/>
        </w:rPr>
        <w:t>Jacinto Mario Mazon, 80 – 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770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257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2025-10-13T12:25:00Z</cp:lastPrinted>
  <dcterms:created xsi:type="dcterms:W3CDTF">2025-10-13T12:28:00Z</dcterms:created>
  <dcterms:modified xsi:type="dcterms:W3CDTF">2025-10-13T12:28:00Z</dcterms:modified>
</cp:coreProperties>
</file>