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Infraestrutura para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Festa das Crianças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Infraestrutura para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Festa das Crianças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que acontecerá no dia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11 de outubro de 2025 (sábado)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partir das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13h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Eng. Jaime Pinheiro Ulhôa Cintra – Jardim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no município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responsável pelo evento é o Sr. Jonathan Henrique Faria Sangalli, portador do CPF 445.052.118-86 e RG 52.990.228-X, contato: 19 97401-1088.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Para contribuir com a infraestrutura do evento e garantir o conforto dos participantes, especialmente das crianças e seus familiares, solicitamos o apoio com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disponibilização de 02 (duas) tendas de 5x5 metros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outubro de 2025.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314325</wp:posOffset>
            </wp:positionV>
            <wp:extent cx="2252980" cy="1038225"/>
            <wp:effectExtent l="0" t="0" r="0" b="0"/>
            <wp:wrapSquare wrapText="bothSides"/>
            <wp:docPr id="138567664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8492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17629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937992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156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0311551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11519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60477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