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Infraestrutura para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Festa das Crianças - Jardim Nova Esperança II.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Infraestrutura para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Festa das Crianças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que acontecerá no dia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12 de outubro de 2025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das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13h às 19h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Vieira</w:t>
      </w:r>
      <w:r w:rsidRPr="00000000">
        <w:rPr>
          <w:rFonts w:ascii="Arial" w:eastAsia="Arial" w:hAnsi="Arial" w:cs="Arial"/>
          <w:sz w:val="24"/>
          <w:szCs w:val="24"/>
          <w:rtl w:val="0"/>
        </w:rPr>
        <w:t>, Jardim Nova Esperança II.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evento é de cunho comunitário e voltado para o lazer e a integração social das crianças da região. A organização está sob responsabilidade do Sr.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Breno José de Souza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CPF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485.823.918-70</w:t>
      </w:r>
      <w:r w:rsidRPr="00000000">
        <w:rPr>
          <w:rFonts w:ascii="Arial" w:eastAsia="Arial" w:hAnsi="Arial" w:cs="Arial"/>
          <w:sz w:val="24"/>
          <w:szCs w:val="24"/>
          <w:rtl w:val="0"/>
        </w:rPr>
        <w:t>, morador local e ativo colaborador em ações sociais. Para viabilizar a estrutura mínima necessária ao evento, solicitamos a disponibilização de:</w:t>
      </w:r>
    </w:p>
    <w:p w:rsidR="00000000" w:rsidRPr="00000000" w:rsidP="00000000" w14:paraId="00000009">
      <w:pPr>
        <w:numPr>
          <w:ilvl w:val="0"/>
          <w:numId w:val="1"/>
        </w:numPr>
        <w:spacing w:before="240" w:after="0" w:afterAutospacing="0" w:line="30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02 (duas) tendas de 5x5 metros</w:t>
      </w:r>
      <w:r w:rsidRPr="00000000">
        <w:rPr>
          <w:rFonts w:ascii="Arial" w:eastAsia="Arial" w:hAnsi="Arial" w:cs="Arial"/>
          <w:sz w:val="24"/>
          <w:szCs w:val="24"/>
          <w:rtl w:val="0"/>
        </w:rPr>
        <w:t>;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240" w:line="30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02 (dois) banheiros químicos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presença desses equipamentos é essencial para oferecer segurança, conforto e organização aos participantes, especialmente considerando a presença de crianças e famílias.</w:t>
      </w:r>
    </w:p>
    <w:p w:rsidR="00000000" w:rsidRPr="00000000" w:rsidP="00000000" w14:paraId="0000000C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outubro de 2025.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314325</wp:posOffset>
            </wp:positionV>
            <wp:extent cx="2252980" cy="1038225"/>
            <wp:effectExtent l="0" t="0" r="0" b="0"/>
            <wp:wrapSquare wrapText="bothSides"/>
            <wp:docPr id="96583046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69049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088355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1278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7133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1332338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579511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49730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9F28CD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