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00000" w:rsidRPr="00000000" w:rsidP="00000000" w14:paraId="00000003">
      <w:pPr>
        <w:spacing w:line="276" w:lineRule="auto"/>
        <w:ind w:right="282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, que:</w:t>
      </w:r>
    </w:p>
    <w:p w:rsidR="00000000" w:rsidRPr="00000000" w:rsidP="00000000" w14:paraId="00000004">
      <w:pPr>
        <w:spacing w:after="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0" w:line="276" w:lineRule="auto"/>
        <w:ind w:left="5811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“Dispõe sobre sanções administrativas aplicáveis, no âmbito do Município de Sumaré, às pessoas que praticarem atos de zoofilia, e dá outras providências.”</w:t>
      </w:r>
    </w:p>
    <w:p w:rsidR="00000000" w:rsidRPr="00000000" w:rsidP="00000000" w14:paraId="00000006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Autoria: Vereador Alan Leal</w:t>
      </w:r>
    </w:p>
    <w:p w:rsidR="00000000" w:rsidRPr="00000000" w:rsidP="00000000" w14:paraId="00000007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8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Esta Lei dispõe, exclusivamente, sobre sanções administrativas aplicáveis no âmbito do Município de Sumaré às pessoas que praticarem atos de zoofilia.</w:t>
      </w:r>
    </w:p>
    <w:p w:rsidR="00000000" w:rsidRPr="00000000" w:rsidP="00000000" w14:paraId="00000009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1º Para efeitos desta Lei, considera-se zoofilia a prática de ato libidinoso ou de natureza sexual com animal de qualquer espécie não humana, com o objetivo de satisfazer a própria lascívia ou de terceiro.</w:t>
      </w:r>
    </w:p>
    <w:p w:rsidR="00000000" w:rsidRPr="00000000" w:rsidP="00000000" w14:paraId="0000000A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2º A aplicação das sanções administrativas previstas nesta Lei não afasta nem substitui a apuração e a responsabilização nas esferas penal e cível.</w:t>
      </w:r>
    </w:p>
    <w:p w:rsidR="00000000" w:rsidRPr="00000000" w:rsidP="00000000" w14:paraId="0000000B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A prática do ato de zoofilia ensejará a aplicação das seguintes sanções administrativas:</w:t>
      </w:r>
    </w:p>
    <w:p w:rsidR="00000000" w:rsidRPr="00000000" w:rsidP="00000000" w14:paraId="0000000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Multa no valor de 3.250 (três mil duzentas e cinquenta Unidades Fiscais do Município de Sumaré (UFMS) por animal, dobrada em caso de reincidência;</w:t>
      </w:r>
    </w:p>
    <w:p w:rsidR="00000000" w:rsidRPr="00000000" w:rsidP="00000000" w14:paraId="0000000D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Multa no valor de 6.500 (seis mil e quinhentas) UFMS por animal, em caso de morte do animal em decorrência do ato;</w:t>
      </w:r>
    </w:p>
    <w:p w:rsidR="00000000" w:rsidRPr="00000000" w:rsidP="00000000" w14:paraId="0000000E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Proibição de posse, guarda, criação, adoção ou aquisição de animais pelo prazo mínimo de 8 (oito) anos, contados da aplicação da multa.</w:t>
      </w:r>
    </w:p>
    <w:p w:rsidR="00000000" w:rsidRPr="00000000" w:rsidP="00000000" w14:paraId="0000000F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1º O infrator deverá arcar com os custos de transporte, hospedagem, alimentação, serviços veterinários e demais despesas advindas do cuidado com o animal.</w:t>
      </w:r>
    </w:p>
    <w:p w:rsidR="00000000" w:rsidRPr="00000000" w:rsidP="00000000" w14:paraId="00000010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§ 2º O Poder Público, a pessoa jurídica ou física que ficar com a guarda do animal deverá comprovar formalmente os custos.</w:t>
      </w:r>
    </w:p>
    <w:p w:rsidR="00000000" w:rsidRPr="00000000" w:rsidP="00000000" w14:paraId="00000011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0"/>
          <w:id w:val="15905564"/>
          <w:richText/>
        </w:sdtPr>
        <w:sdtContent>
          <w:r w:rsidRPr="00000000">
            <w:rPr>
              <w:rFonts w:ascii="Arial Unicode MS" w:eastAsia="Arial Unicode MS" w:hAnsi="Arial Unicode MS" w:cs="Arial Unicode MS"/>
              <w:sz w:val="24"/>
              <w:szCs w:val="24"/>
              <w:rtl w:val="0"/>
            </w:rPr>
            <w:t>§ 3º O pagamento relativo aos custos do §1∘ deverá ser realizado ao Poder Público, à pessoa jurídica ou à pessoa física que detiver a guarda temporária do animal.</w:t>
          </w:r>
        </w:sdtContent>
      </w:sdt>
    </w:p>
    <w:p w:rsidR="00000000" w:rsidRPr="00000000" w:rsidP="00000000" w14:paraId="0000001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Sem prejuízo da aplicação da multa, o infrator deverá participar de programas educativos sobre bem-estar animal, nos termos e condições estabelecidos pelo órgão competente.</w:t>
      </w:r>
    </w:p>
    <w:p w:rsidR="00000000" w:rsidRPr="00000000" w:rsidP="00000000" w14:paraId="00000013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O ato de zoofilia será atestado por laudo emitido por médico-veterinário devidamente inscrito no Conselho Regional de Medicina Veterinária (CRMV) do Estado competente, podendo ser complementado por outros meios de prova legalmente admitidos.</w:t>
      </w:r>
    </w:p>
    <w:p w:rsidR="00000000" w:rsidRPr="00000000" w:rsidP="00000000" w14:paraId="00000014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Parágrafo único. O laudo técnico referido no 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caput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do artigo deverá ser elaborado respeitando a responsabilidade técnica do profissional, conforme protocolos recomendados pelo Conselho Federal de Medicina Veterinária (CFMV) ou pelo Conselho Regional de Medicina Veterinária do Estado de São Paulo (CRMV-SP), assegurado o contraditório e a ampla defesa ao acusado no âmbito do processo administrativo.</w:t>
      </w:r>
    </w:p>
    <w:p w:rsidR="00000000" w:rsidRPr="00000000" w:rsidP="00000000" w14:paraId="00000015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O Poder Público Municipal poderá oferecer a qualquer tempo, mediante adesão voluntária e prescrição médica, tratamento hormonal inibidor da libido às pessoas que praticarem zoofilia.</w:t>
      </w:r>
    </w:p>
    <w:p w:rsidR="00000000" w:rsidRPr="00000000" w:rsidP="00000000" w14:paraId="00000016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Parágrafo único. A adesão voluntária ao tratamento previsto no 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>caput</w:t>
      </w:r>
      <w:sdt>
        <w:sdtPr>
          <w:tag w:val="goog_rdk_1"/>
          <w:id w:val="-193457184"/>
          <w:richText/>
        </w:sdtPr>
        <w:sdtContent>
          <w:r w:rsidRPr="00000000">
            <w:rPr>
              <w:rFonts w:ascii="Arial Unicode MS" w:eastAsia="Arial Unicode MS" w:hAnsi="Arial Unicode MS" w:cs="Arial Unicode MS"/>
              <w:sz w:val="24"/>
              <w:szCs w:val="24"/>
              <w:rtl w:val="0"/>
            </w:rPr>
            <w:t xml:space="preserve"> do artigo implicará redução de 50% (cinquenta por cento) do valor da multa aplicada nos termos do art. 2∘.</w:t>
          </w:r>
        </w:sdtContent>
      </w:sdt>
    </w:p>
    <w:p w:rsidR="00000000" w:rsidRPr="00000000" w:rsidP="00000000" w14:paraId="00000017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Os editais de concurso público e os instrumentos de nomeação ou designação para cargos em comissão deverão conter cláusula de impedimento à investidura de pessoas que tenham sido condenadas, em qualquer esfera (administrativa, cível ou penal), por decisão transitada em julgado, pela prática de zoofilia ou correlata, pelo prazo de 8 (oito) anos, contado do cumprimento integral da pena ou sanção aplicada.</w:t>
      </w:r>
    </w:p>
    <w:p w:rsidR="00000000" w:rsidRPr="00000000" w:rsidP="00000000" w14:paraId="00000018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2"/>
          <w:id w:val="-1082852909"/>
          <w:richText/>
        </w:sdtPr>
        <w:sdtContent>
          <w:r w:rsidRPr="00000000">
            <w:rPr>
              <w:rFonts w:ascii="Arial Unicode MS" w:eastAsia="Arial Unicode MS" w:hAnsi="Arial Unicode MS" w:cs="Arial Unicode MS"/>
              <w:sz w:val="24"/>
              <w:szCs w:val="24"/>
              <w:rtl w:val="0"/>
            </w:rPr>
            <w:t xml:space="preserve">Parágrafo único. A adesão voluntária ao tratamento previsto no artigo 5∘ desta Lei implicará redução de 50% (cinquenta por cento) do prazo previsto no </w:t>
          </w:r>
        </w:sdtContent>
      </w:sdt>
      <w:r w:rsidRPr="00000000">
        <w:rPr>
          <w:rFonts w:ascii="Arial" w:eastAsia="Arial" w:hAnsi="Arial" w:cs="Arial"/>
          <w:i/>
          <w:sz w:val="24"/>
          <w:szCs w:val="24"/>
          <w:rtl w:val="0"/>
        </w:rPr>
        <w:t>caput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deste artigo.</w:t>
      </w:r>
    </w:p>
    <w:p w:rsidR="00000000" w:rsidRPr="00000000" w:rsidP="00000000" w14:paraId="00000019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7º O valor arrecadado com as multas será destinado a programas de proteção e bem-estar animal, nos termos e condições estabelecidos pelo Poder Executivo.</w:t>
      </w:r>
    </w:p>
    <w:p w:rsidR="00000000" w:rsidRPr="00000000" w:rsidP="00000000" w14:paraId="0000001A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8º As despesas decorrentes da execução desta lei correrão por conta de dotações orçamentárias próprias, suplementadas se necessário.</w:t>
      </w:r>
    </w:p>
    <w:p w:rsidR="00000000" w:rsidRPr="00000000" w:rsidP="00000000" w14:paraId="0000001B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9º  O poder executivo regulamentará esta lei no que couber no prazo máximo de 90 (noventa) dias contados da data de sua publicação.</w:t>
      </w:r>
    </w:p>
    <w:p w:rsidR="00000000" w:rsidRPr="00000000" w:rsidP="00000000" w14:paraId="0000001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10º Esta Lei entra em vigor na data de sua publicação.</w:t>
      </w:r>
    </w:p>
    <w:p w:rsidR="00000000" w:rsidRPr="00000000" w:rsidP="00000000" w14:paraId="0000001D">
      <w:pPr>
        <w:spacing w:before="240" w:after="24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Sumaré, </w:t>
      </w:r>
      <w:r w:rsidRPr="00000000">
        <w:rPr>
          <w:rFonts w:ascii="Arial" w:eastAsia="Arial" w:hAnsi="Arial" w:cs="Arial"/>
          <w:sz w:val="24"/>
          <w:szCs w:val="24"/>
          <w:rtl w:val="0"/>
        </w:rPr>
        <w:t>02 de outubro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</w:t>
      </w:r>
    </w:p>
    <w:p w:rsidR="00000000" w:rsidRPr="00000000" w:rsidP="00000000" w14:paraId="0000001F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2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4">
      <w:pPr>
        <w:jc w:val="center"/>
        <w:rPr>
          <w:color w:val="000000"/>
        </w:rPr>
      </w:pPr>
    </w:p>
    <w:p w:rsidR="00000000" w:rsidRPr="00000000" w:rsidP="00000000" w14:paraId="00000025">
      <w:pPr>
        <w:jc w:val="center"/>
      </w:pPr>
      <w:r w:rsidRPr="00000000">
        <w:br w:type="page"/>
      </w:r>
    </w:p>
    <w:p w:rsidR="00000000" w:rsidRPr="00000000" w:rsidP="00000000" w14:paraId="00000026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2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 xml:space="preserve">O presente Projeto de Lei visa estabelecer sanções administrativas rigorosas e específicas para a prática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zoofilia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uma forma cruel e grave de abuso contra animais. </w:t>
      </w:r>
    </w:p>
    <w:p w:rsidR="00000000" w:rsidRPr="00000000" w:rsidP="00000000" w14:paraId="000000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 xml:space="preserve">A proposta é estruturada em pilares que garantem a punição, a reeducação e a segurança jurídica. Serão aplicadas multas severas, sendo os valores arrecadados destinados integralmente a programas municipais de proteção animal. A lei também impõe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proibição de posse, guarda ou aquisição de animais</w:t>
      </w:r>
      <w:r w:rsidRPr="00000000">
        <w:rPr>
          <w:rFonts w:ascii="Arial" w:eastAsia="Arial" w:hAnsi="Arial" w:cs="Arial"/>
          <w:sz w:val="24"/>
          <w:szCs w:val="24"/>
          <w:rtl w:val="0"/>
        </w:rPr>
        <w:t>, afastando o agressor do convívio com esses seres vulneráveis.</w:t>
      </w:r>
    </w:p>
    <w:p w:rsidR="00000000" w:rsidRPr="00000000" w:rsidP="00000000" w14:paraId="0000002E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Um ponto crucial é o reforço ético no serviço público. O Artigo 6º impede a investidura em cargos municipais por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8 (oito) anos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aqueles que tenham sido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condenados em decisão definitiva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pela prática de zoofilia. Essa restrição é ampla, pois abarca todas as esferas –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administrativa, cível ou penal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– garantindo que a condenação em qualquer uma delas seja suficiente para impedir a nomeação.</w:t>
      </w:r>
    </w:p>
    <w:p w:rsidR="00000000" w:rsidRPr="00000000" w:rsidP="00000000" w14:paraId="0000002F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Em síntese, este Projeto de Lei é uma resposta enérgica do Poder Público de Sumaré contra a crueldade, estabelecendo um regime de sanções que protege os animais, pune o infrator e investe na prevenção da reincidência.</w:t>
      </w:r>
    </w:p>
    <w:p w:rsidR="00000000" w:rsidRPr="00000000" w:rsidP="00000000" w14:paraId="00000030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5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02 de outubro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</w:t>
      </w:r>
    </w:p>
    <w:p w:rsidR="00000000" w:rsidRPr="00000000" w:rsidP="00000000" w14:paraId="00000036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37">
      <w:pPr>
        <w:jc w:val="center"/>
      </w:pPr>
      <w:r w:rsidRPr="00000000">
        <w:drawing>
          <wp:inline distT="0" distB="0" distL="0" distR="0">
            <wp:extent cx="1638300" cy="1657350"/>
            <wp:effectExtent l="0" t="0" r="0" b="0"/>
            <wp:docPr id="162119820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641459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 Unicode M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9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69850</wp:posOffset>
              </wp:positionV>
              <wp:extent cx="6287827" cy="63500"/>
              <wp:effectExtent l="0" t="0" r="0" b="0"/>
              <wp:wrapNone/>
              <wp:docPr id="162119820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-336548</wp:posOffset>
              </wp:positionH>
              <wp:positionV relativeFrom="paragraph">
                <wp:posOffset>69850</wp:posOffset>
              </wp:positionV>
              <wp:extent cx="6287827" cy="63500"/>
              <wp:effectExtent l="0" t="0" r="0" b="0"/>
              <wp:wrapNone/>
              <wp:docPr id="20395179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967337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8">
    <w:r w:rsidRPr="00000000">
      <w:drawing>
        <wp:inline distT="0" distB="0" distL="0" distR="0">
          <wp:extent cx="1526058" cy="534121"/>
          <wp:effectExtent l="0" t="0" r="0" b="0"/>
          <wp:docPr id="16211982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2844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20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-825498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81813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243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"/>
    <w:next w:val="normal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"/>
    <w:next w:val="normal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Normal_0"/>
    <w:tblPr/>
  </w:style>
  <w:style w:type="paragraph" w:customStyle="1" w:styleId="normal1">
    <w:name w:val="normal_1"/>
  </w:style>
  <w:style w:type="table" w:customStyle="1" w:styleId="TableNormal00">
    <w:name w:val="Table Normal_0"/>
    <w:tblPr/>
  </w:style>
  <w:style w:type="paragraph" w:customStyle="1" w:styleId="normal2">
    <w:name w:val="normal_2"/>
  </w:style>
  <w:style w:type="table" w:customStyle="1" w:styleId="TableNormal000">
    <w:name w:val="Table Normal_0_0"/>
    <w:tblPr/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00">
    <w:name w:val="Table Normal_0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2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2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2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2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2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+uJA5WU5p2r0mXXudKs6F5QAw==">CgMxLjAaJAoBMBIfCh0IB0IZCgVBcmlhbBIQQXJpYWwgVW5pY29kZSBNUxokCgExEh8KHQgHQhkKBUFyaWFsEhBBcmlhbCBVbmljb2RlIE1TGiQKATISHwodCAdCGQoFQXJpYWwSEEFyaWFsIFVuaWNvZGUgTVMyCWguM3pueXNoNzgAciExSjRpUlpiVS1tckZSTjN4RHUzbTAxbVVjRndiY3Y0YjA=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2025-01-16T14:51:00Z</dcterms:created>
</cp:coreProperties>
</file>