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48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seja concedida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Medalha Paulo Freire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Professor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Mayckonn Rodrigo Coutinho Rosa</w:t>
      </w:r>
      <w:r w:rsidRPr="00000000">
        <w:rPr>
          <w:rFonts w:ascii="Arial" w:eastAsia="Arial" w:hAnsi="Arial" w:cs="Arial"/>
          <w:sz w:val="24"/>
          <w:szCs w:val="24"/>
          <w:rtl w:val="0"/>
        </w:rPr>
        <w:t>, homenagem destinada aos profissionais da educação que se destacam por sua atuação relevante.</w:t>
      </w:r>
    </w:p>
    <w:p w:rsidR="00000000" w:rsidRPr="00000000" w:rsidP="00000000" w14:paraId="00000004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Mayckonn Rodrigo Coutinho Rosa, formado em Filosofia, reside em Sumaré desde 2008 e é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Professor Efetivo da Rede Estadual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desde 2013, atuando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E.E. Luiz Campo Dall'orto Sobrinho</w:t>
      </w:r>
      <w:r w:rsidRPr="00000000">
        <w:rPr>
          <w:rFonts w:ascii="Arial" w:eastAsia="Arial" w:hAnsi="Arial" w:cs="Arial"/>
          <w:sz w:val="24"/>
          <w:szCs w:val="24"/>
          <w:rtl w:val="0"/>
        </w:rPr>
        <w:t>. O Professor se destaca por sua visão da Educação como ferramenta essencial na formação de cidadãos ativos, críticos e engajados, indo além da simples transmissão de conteúdo para "preparar afetiva e efetivamente cada estudante para a vida".</w:t>
      </w:r>
    </w:p>
    <w:p w:rsidR="00000000" w:rsidRPr="00000000" w:rsidP="00000000" w14:paraId="00000005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Seu trabalho é marcado pelo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ativismo em Educação Antirracista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sendo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Professor Multiplicador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Programa MultiplicaSP, onde ministra formações para pares no tema. Além disso, seu engajamento em projetos sociais e científicos é notável: ele atua no projeto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CeraMina-CeraMana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(em parceria com o Instituto Federal de Hortolândia), que visa promover a diversidade de gênero nas áreas de STEM (Ciência, Tecnologia, Engenharia e Matemática) e empoderar meninas negras. Seu compromisso cívico se estende ao município, onde é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membro e Presidente do Conselho da Alimentação Escolar (CAE)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o mandato 2025-2029. Sua dedicação em mitigar as desigualdades e construir uma "Sociedade Equitativa" o torna merecedor desta honraria.</w:t>
      </w:r>
    </w:p>
    <w:p w:rsidR="00000000" w:rsidRPr="00000000" w:rsidP="00000000" w14:paraId="00000006">
      <w:pPr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conto com o apoio dos nobres pares para a aprovação dessa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merecida homenagem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reconhece a excelência e o compromisso social e educacional do Professor Mayckonn Rodrigo Coutinho Rosa.</w:t>
      </w:r>
    </w:p>
    <w:p w:rsidR="00000000" w:rsidRPr="00000000" w:rsidP="00000000" w14:paraId="00000007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setembro de 2025</w:t>
      </w:r>
    </w:p>
    <w:p w:rsidR="00000000" w:rsidRPr="00000000" w:rsidP="00000000" w14:paraId="0000000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638300" cy="1657350"/>
            <wp:effectExtent l="0" t="0" r="0" b="0"/>
            <wp:docPr id="1000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7824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A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-368290</wp:posOffset>
              </wp:positionH>
              <wp:positionV relativeFrom="paragraph">
                <wp:posOffset>25400</wp:posOffset>
              </wp:positionV>
              <wp:extent cx="6364027" cy="139700"/>
              <wp:effectExtent l="0" t="0" r="0" b="0"/>
              <wp:wrapNone/>
              <wp:docPr id="10005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-368290</wp:posOffset>
              </wp:positionH>
              <wp:positionV relativeFrom="paragraph">
                <wp:posOffset>25400</wp:posOffset>
              </wp:positionV>
              <wp:extent cx="6364027" cy="139700"/>
              <wp:effectExtent l="0" t="0" r="0" b="0"/>
              <wp:wrapNone/>
              <wp:docPr id="1043793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2675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4027" cy="13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493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-812792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5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-812792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75386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4045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3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6"/>
    <w:next w:val="normal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6"/>
    <w:next w:val="normal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6"/>
    <w:next w:val="normal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6"/>
    <w:next w:val="normal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6"/>
    <w:next w:val="normal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6"/>
    <w:next w:val="normal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paragraph" w:customStyle="1" w:styleId="normal5">
    <w:name w:val="normal_5"/>
  </w:style>
  <w:style w:type="table" w:customStyle="1" w:styleId="TableNormal00">
    <w:name w:val="Table Normal_0"/>
    <w:tblPr/>
  </w:style>
  <w:style w:type="paragraph" w:customStyle="1" w:styleId="normal6">
    <w:name w:val="normal_6"/>
  </w:style>
  <w:style w:type="table" w:customStyle="1" w:styleId="TableNormal000">
    <w:name w:val="Table Normal_0_0"/>
    <w:tblPr/>
  </w:style>
  <w:style w:type="table" w:customStyle="1" w:styleId="TableNormal10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6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6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6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6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3n8AIA1qHza2fqXZ7L2oKUd+hg==">CgMxLjAyCGguZ2pkZ3hzOAByITFMVlhLcDJQOWNhY0VLM0FKUnQ1UUVwcU1KQnp4aElZXw==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