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presente e na forma regimental,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REQUEIRO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que seja concedida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Medalha Jovem Cientista Sumareense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à jovem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Giovana Campana Rodrigues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3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Giovana Campana Rodrigues, nascida em 25/01/2008 e natural de Sumaré/SP, filha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Silvana Rita Campana Rodrigues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Ailton da Luz Rodrigues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é aluna do 3º ano do Ensino Médio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E. E. Luiz Campos Dall’Orto Sobrinho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. Giovana se enquadra perfeitamente nos critérios da honraria, que visa homenagear jovens que desenvolvam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trabalhos relevantes para a sociedade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destacando-se em projetos que unem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ciência, cultura, liderança e consciência social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4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Apesar de sua notável atuação em coletivos literários antirracistas, como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Black Girls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e seu engajamento em projetos de artes cênicas e saraus — atividades que já geraram cobertura e depoimentos em jornais como 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Correio Popular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Sampi Campinas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—, seu mérito científico também é significativo. Na área de ciência, em 2024, participou do programa Meninas na Ciência, desenvolvendo o projeto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“Cera-mina Cera-mana”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. Neste projeto, a jovem cientista produziu uma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argila sustentável a partir de cascas de ovos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apresentando uma solução ecológica e relevante para a reutilização de materiais descartados. Além disso, Giovana atua como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gremista estudantil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aluna acolhedora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desde 2023, sendo uma líder que incentiva a leitura e a participação na vida escolar. Sua trajetória demonstra um compromisso notável com o conhecimento e a transformação social, sendo um orgulho para Sumaré.</w:t>
      </w:r>
    </w:p>
    <w:p w:rsidR="00000000" w:rsidRPr="00000000" w:rsidP="00000000" w14:paraId="00000005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Diante do exposto, conto com o apoio dos nobres pares para a aprovação dessa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merecida homenagem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que reconhece o talento e o engajamento cívico-científico da jovem Giovana Campana Rodrigues.</w:t>
      </w:r>
    </w:p>
    <w:p w:rsidR="00000000" w:rsidRPr="00000000" w:rsidP="00000000" w14:paraId="00000006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setembro de 2025</w:t>
      </w:r>
    </w:p>
    <w:p w:rsidR="00000000" w:rsidRPr="00000000" w:rsidP="00000000" w14:paraId="00000008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638300" cy="1657350"/>
            <wp:effectExtent l="0" t="0" r="0" b="0"/>
            <wp:docPr id="10004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61058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9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B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-355593</wp:posOffset>
              </wp:positionH>
              <wp:positionV relativeFrom="paragraph">
                <wp:posOffset>38100</wp:posOffset>
              </wp:positionV>
              <wp:extent cx="6338627" cy="114300"/>
              <wp:effectExtent l="0" t="0" r="0" b="0"/>
              <wp:wrapNone/>
              <wp:docPr id="10004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-355593</wp:posOffset>
              </wp:positionH>
              <wp:positionV relativeFrom="paragraph">
                <wp:posOffset>38100</wp:posOffset>
              </wp:positionV>
              <wp:extent cx="6338627" cy="114300"/>
              <wp:effectExtent l="0" t="0" r="0" b="0"/>
              <wp:wrapNone/>
              <wp:docPr id="4860919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838488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8627" cy="114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C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A">
    <w:r w:rsidRPr="00000000">
      <w:drawing>
        <wp:inline distT="0" distB="0" distL="0" distR="0">
          <wp:extent cx="1526058" cy="534121"/>
          <wp:effectExtent l="0" t="0" r="0" b="0"/>
          <wp:docPr id="1000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8121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-812794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4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-812794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41827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96522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2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4"/>
    <w:next w:val="normal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4"/>
    <w:next w:val="normal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4"/>
    <w:next w:val="normal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4"/>
    <w:next w:val="normal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4"/>
    <w:next w:val="normal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4"/>
    <w:next w:val="normal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paragraph" w:customStyle="1" w:styleId="normal3">
    <w:name w:val="normal_3"/>
  </w:style>
  <w:style w:type="table" w:customStyle="1" w:styleId="TableNormal00">
    <w:name w:val="Table Normal_0"/>
    <w:tblPr/>
  </w:style>
  <w:style w:type="paragraph" w:customStyle="1" w:styleId="normal4">
    <w:name w:val="normal_4"/>
  </w:style>
  <w:style w:type="table" w:customStyle="1" w:styleId="TableNormal000">
    <w:name w:val="Table Normal_0_0"/>
    <w:tblPr/>
  </w:style>
  <w:style w:type="table" w:customStyle="1" w:styleId="TableNormal10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4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4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4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4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4"/>
    <w:next w:val="normal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4Ot97B/dykJV6bSzTRqCv/2htg==">CgMxLjAyCGguZ2pkZ3hzOAByITFnQWRkYWMyR2gxOUlhRzd6d1gxbFF4Y0lmNGdYSVN3Mw==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