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385AE74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E63125">
        <w:rPr>
          <w:sz w:val="28"/>
          <w:szCs w:val="28"/>
        </w:rPr>
        <w:t>pintura de solo no cruzamento da</w:t>
      </w:r>
      <w:r w:rsidR="009D5557">
        <w:rPr>
          <w:sz w:val="28"/>
          <w:szCs w:val="28"/>
        </w:rPr>
        <w:t xml:space="preserve"> Rua Neuza Francisca dos Santos</w:t>
      </w:r>
      <w:r w:rsidR="00E63125">
        <w:rPr>
          <w:sz w:val="28"/>
          <w:szCs w:val="28"/>
        </w:rPr>
        <w:t xml:space="preserve"> com Rua Mossoró</w:t>
      </w:r>
      <w:r w:rsidR="000043D2">
        <w:rPr>
          <w:sz w:val="28"/>
          <w:szCs w:val="28"/>
        </w:rPr>
        <w:t xml:space="preserve">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573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2190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557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0EF3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25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2025-09-29T13:32:00Z</cp:lastPrinted>
  <dcterms:created xsi:type="dcterms:W3CDTF">2025-09-29T13:35:00Z</dcterms:created>
  <dcterms:modified xsi:type="dcterms:W3CDTF">2025-09-29T13:35:00Z</dcterms:modified>
</cp:coreProperties>
</file>