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José Maria Barroca,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97321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-429278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-429278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48803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9021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336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8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935678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239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4"/>
    <w:next w:val="normal14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4"/>
    <w:next w:val="normal1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4"/>
    <w:next w:val="normal14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4"/>
    <w:next w:val="normal14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4"/>
    <w:next w:val="normal14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4"/>
    <w:next w:val="normal14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4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4"/>
    <w:next w:val="normal1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SrnWWdCiF4mW01OHh+6FBVdNA==">CgMxLjAyDmguNTBwb3IxOXBzMXFrOAByITFMQ2JQSDVGYnBWakd6S3J0LXpfYVdqR3plNWZ4RDU0Mw==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