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Antônio do Valle Melo,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21000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-378487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-378487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01221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45446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936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936762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8423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6"/>
    <w:next w:val="normal6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6"/>
    <w:next w:val="normal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6"/>
    <w:next w:val="normal6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6"/>
    <w:next w:val="normal6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6"/>
    <w:next w:val="normal6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6"/>
    <w:next w:val="normal6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6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6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6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6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6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6"/>
    <w:next w:val="normal6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kF0JJ+uD2DwQFIygDRZqKoN4g==">CgMxLjAyDmguNTBwb3IxOXBzMXFrOAByITF6R25Pakh4ZE9Ya3p3d042YUNDaUlCTy1NYl9wd2E2bg==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