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Rua Antônio de Carvalho,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5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85780" name="image3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-372139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5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-372139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77747797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7254295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6184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-875656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5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7" name="Shape 17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3050" w="10368" stroke="1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8" name="Shape 18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1966" w="6103" stroke="1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9" name="Shape 19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6164" w="4571" stroke="1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-875656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264925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18747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5"/>
    <w:next w:val="normal5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5"/>
    <w:next w:val="normal5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5"/>
    <w:next w:val="normal5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5"/>
    <w:next w:val="normal5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5"/>
    <w:next w:val="normal5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5"/>
    <w:next w:val="normal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5"/>
    <w:next w:val="normal5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5"/>
    <w:next w:val="normal5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5"/>
    <w:next w:val="normal5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5"/>
    <w:next w:val="normal5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5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5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5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5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5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5"/>
    <w:next w:val="normal5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n+7CscUWd/I2z2Z1w2vmUvjSXQ==">CgMxLjAyDmguNTBwb3IxOXBzMXFrOAByITFJY0Q4YWtxdVFrcU1yTmM2UTd3LTV2S2NYbHYxOEU0Sw==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