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245C" w:rsidRPr="00393559" w:rsidP="00C842D1" w14:paraId="05792415" w14:textId="5DD8666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>PROJETO DE LEI Nº</w:t>
      </w:r>
      <w:r w:rsidRPr="00393559">
        <w:rPr>
          <w:rFonts w:ascii="Arial" w:eastAsia="Arial" w:hAnsi="Arial" w:cs="Arial"/>
          <w:b/>
          <w:sz w:val="24"/>
          <w:szCs w:val="24"/>
        </w:rPr>
        <w:tab/>
      </w:r>
      <w:r w:rsidRPr="00393559">
        <w:rPr>
          <w:rFonts w:ascii="Arial" w:eastAsia="Arial" w:hAnsi="Arial" w:cs="Arial"/>
          <w:b/>
          <w:sz w:val="24"/>
          <w:szCs w:val="24"/>
        </w:rPr>
        <w:tab/>
        <w:t xml:space="preserve">, DE </w:t>
      </w:r>
      <w:r w:rsidRPr="00393559" w:rsidR="003F4DFF">
        <w:rPr>
          <w:rFonts w:ascii="Arial" w:eastAsia="Arial" w:hAnsi="Arial" w:cs="Arial"/>
          <w:b/>
          <w:sz w:val="24"/>
          <w:szCs w:val="24"/>
        </w:rPr>
        <w:t>16</w:t>
      </w:r>
      <w:r w:rsidRPr="00393559">
        <w:rPr>
          <w:rFonts w:ascii="Arial" w:eastAsia="Arial" w:hAnsi="Arial" w:cs="Arial"/>
          <w:b/>
          <w:sz w:val="24"/>
          <w:szCs w:val="24"/>
        </w:rPr>
        <w:t xml:space="preserve"> DE </w:t>
      </w:r>
      <w:r w:rsidRPr="00393559" w:rsidR="004351BF">
        <w:rPr>
          <w:rFonts w:ascii="Arial" w:eastAsia="Arial" w:hAnsi="Arial" w:cs="Arial"/>
          <w:b/>
          <w:sz w:val="24"/>
          <w:szCs w:val="24"/>
        </w:rPr>
        <w:t>SETEMBRO</w:t>
      </w:r>
      <w:r w:rsidRPr="00393559">
        <w:rPr>
          <w:rFonts w:ascii="Arial" w:eastAsia="Arial" w:hAnsi="Arial" w:cs="Arial"/>
          <w:b/>
          <w:sz w:val="24"/>
          <w:szCs w:val="24"/>
        </w:rPr>
        <w:t xml:space="preserve"> DE 2025.</w:t>
      </w:r>
    </w:p>
    <w:p w:rsidR="006F245C" w:rsidRPr="00393559" w:rsidP="00C842D1" w14:paraId="1369E7CA" w14:textId="62AA779D">
      <w:pPr>
        <w:spacing w:line="360" w:lineRule="auto"/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>“</w:t>
      </w:r>
      <w:r w:rsidRPr="00393559" w:rsidR="00C842D1">
        <w:rPr>
          <w:rFonts w:ascii="Arial" w:eastAsia="Arial" w:hAnsi="Arial" w:cs="Arial"/>
          <w:b/>
          <w:sz w:val="24"/>
          <w:szCs w:val="24"/>
        </w:rPr>
        <w:t xml:space="preserve">Institui o </w:t>
      </w:r>
      <w:r w:rsidRPr="00393559" w:rsidR="00E5542D">
        <w:rPr>
          <w:rFonts w:ascii="Arial" w:eastAsia="Arial" w:hAnsi="Arial" w:cs="Arial"/>
          <w:b/>
          <w:bCs/>
          <w:sz w:val="24"/>
          <w:szCs w:val="24"/>
        </w:rPr>
        <w:t xml:space="preserve">Programa de Incentivo à Preservação de </w:t>
      </w:r>
      <w:r w:rsidRPr="00393559" w:rsidR="00C842D1">
        <w:rPr>
          <w:rFonts w:ascii="Arial" w:eastAsia="Arial" w:hAnsi="Arial" w:cs="Arial"/>
          <w:b/>
          <w:sz w:val="24"/>
          <w:szCs w:val="24"/>
        </w:rPr>
        <w:t>Áreas de Matas e Florestas Naturais de Proteção Permanente contidas em imóveis situados em zona urbana ou de expansão urbana no Munícipio de Sumaré</w:t>
      </w:r>
      <w:r w:rsidRPr="00393559" w:rsidR="004351BF">
        <w:rPr>
          <w:rFonts w:ascii="Arial" w:eastAsia="Arial" w:hAnsi="Arial" w:cs="Arial"/>
          <w:b/>
          <w:sz w:val="24"/>
          <w:szCs w:val="24"/>
        </w:rPr>
        <w:t>, e dá outras providências.</w:t>
      </w:r>
      <w:r w:rsidRPr="00393559">
        <w:rPr>
          <w:rFonts w:ascii="Arial" w:eastAsia="Arial" w:hAnsi="Arial" w:cs="Arial"/>
          <w:b/>
          <w:sz w:val="24"/>
          <w:szCs w:val="24"/>
        </w:rPr>
        <w:t>”.</w:t>
      </w:r>
    </w:p>
    <w:p w:rsidR="006F245C" w:rsidRPr="00393559" w:rsidP="00C842D1" w14:paraId="60EDDFA9" w14:textId="77777777">
      <w:pPr>
        <w:spacing w:line="360" w:lineRule="auto"/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6F245C" w:rsidRPr="00393559" w:rsidP="00C842D1" w14:paraId="20AA47D7" w14:textId="77777777">
      <w:pPr>
        <w:spacing w:line="360" w:lineRule="auto"/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6F245C" w:rsidRPr="00393559" w:rsidP="00C842D1" w14:paraId="3F92B6BB" w14:textId="77777777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F245C" w:rsidRPr="00393559" w:rsidP="00C842D1" w14:paraId="7A79038A" w14:textId="77777777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6F245C" w:rsidRPr="00393559" w:rsidP="00C842D1" w14:paraId="0F89BCA6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ab/>
      </w:r>
      <w:r w:rsidRPr="00393559"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seguinte Lei: </w:t>
      </w:r>
    </w:p>
    <w:p w:rsidR="00FC24C8" w:rsidRPr="00393559" w:rsidP="00C842D1" w14:paraId="3472EE45" w14:textId="7F3CA08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1º </w:t>
      </w:r>
      <w:r w:rsidRPr="00393559" w:rsidR="00E5542D">
        <w:rPr>
          <w:rFonts w:ascii="Arial" w:eastAsia="Arial" w:hAnsi="Arial" w:cs="Arial"/>
          <w:sz w:val="24"/>
          <w:szCs w:val="24"/>
        </w:rPr>
        <w:t>Institui o Programa de Incentivo à Preservação de Áreas de Matas e Florestas Naturais de Proteção Permanente contidas em imóveis situados em zona urbana ou de expansão urbana no Munícipio de Sumaré</w:t>
      </w:r>
      <w:r w:rsidRPr="00393559" w:rsidR="00525098">
        <w:rPr>
          <w:rFonts w:ascii="Arial" w:eastAsia="Arial" w:hAnsi="Arial" w:cs="Arial"/>
          <w:sz w:val="24"/>
          <w:szCs w:val="24"/>
        </w:rPr>
        <w:t xml:space="preserve">. </w:t>
      </w:r>
    </w:p>
    <w:p w:rsidR="006F245C" w:rsidRPr="00393559" w:rsidP="00C842D1" w14:paraId="3216D4FE" w14:textId="6C100F6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2º </w:t>
      </w:r>
      <w:r w:rsidRPr="00393559" w:rsidR="004351BF">
        <w:rPr>
          <w:rFonts w:ascii="Arial" w:eastAsia="Arial" w:hAnsi="Arial" w:cs="Arial"/>
          <w:sz w:val="24"/>
          <w:szCs w:val="24"/>
        </w:rPr>
        <w:t>Fica autorizado, mediante despacho fundamentado, a isenção dos impostos e taxas anexas, incidentes sobre a propriedade imobiliária urbana referente as áreas de Matas e Florestas Naturais de Proteção Permanente contidas em imóveis situados em zona urbana ou de expansão urbana que efetiva e comprovadamente estejam sendo devidamente preservadas</w:t>
      </w:r>
      <w:r w:rsidRPr="00393559">
        <w:rPr>
          <w:rFonts w:ascii="Arial" w:eastAsia="Arial" w:hAnsi="Arial" w:cs="Arial"/>
          <w:sz w:val="24"/>
          <w:szCs w:val="24"/>
        </w:rPr>
        <w:t>.</w:t>
      </w:r>
    </w:p>
    <w:p w:rsidR="006F245C" w:rsidRPr="00393559" w:rsidP="00C842D1" w14:paraId="30F5DFF4" w14:textId="3004218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3</w:t>
      </w:r>
      <w:r w:rsidRPr="00393559">
        <w:rPr>
          <w:rFonts w:ascii="Arial" w:eastAsia="Arial" w:hAnsi="Arial" w:cs="Arial"/>
          <w:sz w:val="24"/>
          <w:szCs w:val="24"/>
        </w:rPr>
        <w:t xml:space="preserve">º </w:t>
      </w:r>
      <w:r w:rsidRPr="00393559" w:rsidR="004351BF">
        <w:rPr>
          <w:rFonts w:ascii="Arial" w:eastAsia="Arial" w:hAnsi="Arial" w:cs="Arial"/>
          <w:sz w:val="24"/>
          <w:szCs w:val="24"/>
        </w:rPr>
        <w:t>A obtenção da isenção dependerá de requerimento a ser renovado a cada 3 (três) anos pelo proprietário do imóvel onde esteja situada a área de Matas e Florestas Naturais de Proteção Permanente</w:t>
      </w:r>
      <w:r w:rsidRPr="00393559" w:rsidR="00302A3B">
        <w:rPr>
          <w:rFonts w:ascii="Arial" w:eastAsia="Arial" w:hAnsi="Arial" w:cs="Arial"/>
          <w:sz w:val="24"/>
          <w:szCs w:val="24"/>
        </w:rPr>
        <w:t>.</w:t>
      </w:r>
    </w:p>
    <w:p w:rsidR="00302A3B" w:rsidRPr="00393559" w:rsidP="00C842D1" w14:paraId="372EA466" w14:textId="0C4C623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>Parágrafo único. Documentos prévios a serem apresentados para registro do requerimento:</w:t>
      </w:r>
    </w:p>
    <w:p w:rsidR="00302A3B" w:rsidRPr="00393559" w:rsidP="00C842D1" w14:paraId="522A69C7" w14:textId="3E5C18F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>I – Descrição perimétrica</w:t>
      </w:r>
      <w:r w:rsidRPr="00393559" w:rsidR="00407970">
        <w:rPr>
          <w:rFonts w:ascii="Arial" w:eastAsia="Arial" w:hAnsi="Arial" w:cs="Arial"/>
          <w:sz w:val="24"/>
          <w:szCs w:val="24"/>
        </w:rPr>
        <w:t xml:space="preserve"> do imóvel onde se acha localizada a área de Matas e Florestas;</w:t>
      </w:r>
    </w:p>
    <w:p w:rsidR="004351BF" w:rsidRPr="00393559" w:rsidP="00C842D1" w14:paraId="42EAE6A2" w14:textId="29D87EF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>II – Descrição perimétrica da área de Matas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e Florestas a </w:t>
      </w:r>
      <w:r w:rsidRPr="00393559" w:rsidR="00C842D1">
        <w:rPr>
          <w:rFonts w:ascii="Arial" w:eastAsia="Arial" w:hAnsi="Arial" w:cs="Arial"/>
          <w:sz w:val="24"/>
          <w:szCs w:val="24"/>
        </w:rPr>
        <w:t>ser beneficiada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pela isenção.</w:t>
      </w:r>
      <w:r w:rsidRPr="00393559">
        <w:rPr>
          <w:rFonts w:ascii="Arial" w:eastAsia="Arial" w:hAnsi="Arial" w:cs="Arial"/>
          <w:sz w:val="24"/>
          <w:szCs w:val="24"/>
        </w:rPr>
        <w:t xml:space="preserve"> </w:t>
      </w:r>
    </w:p>
    <w:p w:rsidR="006F245C" w:rsidRPr="00393559" w:rsidP="00C842D1" w14:paraId="639D58A6" w14:textId="0098535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4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A isenção concedida na forma do artigo </w:t>
      </w:r>
      <w:r w:rsidRPr="00393559" w:rsidR="00B10A60">
        <w:rPr>
          <w:rFonts w:ascii="Arial" w:eastAsia="Arial" w:hAnsi="Arial" w:cs="Arial"/>
          <w:sz w:val="24"/>
          <w:szCs w:val="24"/>
        </w:rPr>
        <w:t>2</w:t>
      </w:r>
      <w:r w:rsidRPr="00393559" w:rsidR="00051735">
        <w:rPr>
          <w:rFonts w:ascii="Arial" w:eastAsia="Arial" w:hAnsi="Arial" w:cs="Arial"/>
          <w:sz w:val="24"/>
          <w:szCs w:val="24"/>
        </w:rPr>
        <w:t>º poderá ser cassada, se não forem observadas as exigências desta Lei.</w:t>
      </w:r>
      <w:r w:rsidRPr="00393559">
        <w:rPr>
          <w:rFonts w:ascii="Arial" w:eastAsia="Arial" w:hAnsi="Arial" w:cs="Arial"/>
          <w:sz w:val="24"/>
          <w:szCs w:val="24"/>
        </w:rPr>
        <w:t xml:space="preserve"> </w:t>
      </w:r>
    </w:p>
    <w:p w:rsidR="006F245C" w:rsidRPr="00393559" w:rsidP="00C842D1" w14:paraId="265EBD4F" w14:textId="4A0B966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5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A isenção concedida nos termos desta Lei não exonera os beneficiários do cumprimento das obrigações acessórias a que estão sujeitos.</w:t>
      </w:r>
    </w:p>
    <w:p w:rsidR="00051735" w:rsidRPr="00393559" w:rsidP="00C842D1" w14:paraId="4B0B9837" w14:textId="40C24F6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6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>
        <w:rPr>
          <w:rFonts w:ascii="Arial" w:eastAsia="Arial" w:hAnsi="Arial" w:cs="Arial"/>
          <w:sz w:val="24"/>
          <w:szCs w:val="24"/>
        </w:rPr>
        <w:t xml:space="preserve"> O disposto nesta Lei será regulamentado pelo poder Executivo, no prazo de 60 (sessenta) dias.</w:t>
      </w:r>
    </w:p>
    <w:p w:rsidR="006F245C" w:rsidRPr="00393559" w:rsidP="00C842D1" w14:paraId="314A5EA2" w14:textId="552FF8C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7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As despesas com a execução desta Lei correrão por conta das dotações orçamentárias próprias.</w:t>
      </w:r>
      <w:r w:rsidRPr="00393559">
        <w:rPr>
          <w:rFonts w:ascii="Arial" w:eastAsia="Arial" w:hAnsi="Arial" w:cs="Arial"/>
          <w:sz w:val="24"/>
          <w:szCs w:val="24"/>
        </w:rPr>
        <w:t xml:space="preserve"> </w:t>
      </w:r>
    </w:p>
    <w:p w:rsidR="006F245C" w:rsidRPr="00393559" w:rsidP="00C842D1" w14:paraId="0D1D4C8A" w14:textId="0DADFC1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8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Est</w:t>
      </w:r>
      <w:r w:rsidRPr="00393559" w:rsidR="00C842D1">
        <w:rPr>
          <w:rFonts w:ascii="Arial" w:eastAsia="Arial" w:hAnsi="Arial" w:cs="Arial"/>
          <w:sz w:val="24"/>
          <w:szCs w:val="24"/>
        </w:rPr>
        <w:t>a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Lei entrará em vigor na data de sua publicação.</w:t>
      </w:r>
    </w:p>
    <w:p w:rsidR="006F245C" w:rsidRPr="00393559" w:rsidP="00C842D1" w14:paraId="380DFBE3" w14:textId="185482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Art. </w:t>
      </w:r>
      <w:r w:rsidRPr="00393559" w:rsidR="00C842D1">
        <w:rPr>
          <w:rFonts w:ascii="Arial" w:eastAsia="Arial" w:hAnsi="Arial" w:cs="Arial"/>
          <w:sz w:val="24"/>
          <w:szCs w:val="24"/>
        </w:rPr>
        <w:t>9</w:t>
      </w:r>
      <w:r w:rsidRPr="00393559">
        <w:rPr>
          <w:rFonts w:ascii="Arial" w:eastAsia="Arial" w:hAnsi="Arial" w:cs="Arial"/>
          <w:sz w:val="24"/>
          <w:szCs w:val="24"/>
        </w:rPr>
        <w:t>º</w:t>
      </w:r>
      <w:r w:rsidRPr="00393559" w:rsidR="00051735">
        <w:rPr>
          <w:rFonts w:ascii="Arial" w:eastAsia="Arial" w:hAnsi="Arial" w:cs="Arial"/>
          <w:sz w:val="24"/>
          <w:szCs w:val="24"/>
        </w:rPr>
        <w:t xml:space="preserve"> </w:t>
      </w:r>
      <w:r w:rsidRPr="00393559" w:rsidR="00051735">
        <w:rPr>
          <w:rFonts w:ascii="Arial" w:hAnsi="Arial" w:cs="Arial"/>
          <w:sz w:val="24"/>
          <w:szCs w:val="24"/>
        </w:rPr>
        <w:t>Revogam-se as disposições em contrário.</w:t>
      </w:r>
    </w:p>
    <w:p w:rsidR="00051735" w:rsidRPr="00393559" w:rsidP="00C842D1" w14:paraId="777B871F" w14:textId="77777777">
      <w:pPr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6F245C" w:rsidRPr="00393559" w:rsidP="00C842D1" w14:paraId="0B84FE52" w14:textId="26D4C950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Sala das Sessões, </w:t>
      </w:r>
      <w:r w:rsidRPr="00393559" w:rsidR="00C842D1">
        <w:rPr>
          <w:rFonts w:ascii="Arial" w:eastAsia="Arial" w:hAnsi="Arial" w:cs="Arial"/>
          <w:sz w:val="24"/>
          <w:szCs w:val="24"/>
        </w:rPr>
        <w:t>16</w:t>
      </w:r>
      <w:r w:rsidRPr="00393559">
        <w:rPr>
          <w:rFonts w:ascii="Arial" w:eastAsia="Arial" w:hAnsi="Arial" w:cs="Arial"/>
          <w:sz w:val="24"/>
          <w:szCs w:val="24"/>
        </w:rPr>
        <w:t xml:space="preserve"> de </w:t>
      </w:r>
      <w:r w:rsidRPr="00393559" w:rsidR="004351BF">
        <w:rPr>
          <w:rFonts w:ascii="Arial" w:eastAsia="Arial" w:hAnsi="Arial" w:cs="Arial"/>
          <w:sz w:val="24"/>
          <w:szCs w:val="24"/>
        </w:rPr>
        <w:t>setembro</w:t>
      </w:r>
      <w:r w:rsidRPr="00393559">
        <w:rPr>
          <w:rFonts w:ascii="Arial" w:eastAsia="Arial" w:hAnsi="Arial" w:cs="Arial"/>
          <w:sz w:val="24"/>
          <w:szCs w:val="24"/>
        </w:rPr>
        <w:t xml:space="preserve"> de 2025.</w:t>
      </w:r>
    </w:p>
    <w:p w:rsidR="00F27BAE" w:rsidRPr="00393559" w:rsidP="00C842D1" w14:paraId="73875239" w14:textId="77777777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6F245C" w:rsidRPr="00393559" w:rsidP="00C842D1" w14:paraId="081D54E0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hAnsi="Arial" w:cs="Arial"/>
          <w:noProof/>
        </w:rPr>
        <w:drawing>
          <wp:inline distT="0" distB="0" distL="0" distR="0">
            <wp:extent cx="2779868" cy="1206358"/>
            <wp:effectExtent l="0" t="0" r="0" b="0"/>
            <wp:docPr id="123856524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720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3559">
        <w:rPr>
          <w:rFonts w:ascii="Arial" w:hAnsi="Arial" w:cs="Arial"/>
        </w:rPr>
        <w:br w:type="page"/>
      </w:r>
    </w:p>
    <w:p w:rsidR="006F245C" w:rsidRPr="00393559" w:rsidP="00C842D1" w14:paraId="684DDAFB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>JUSTIFICATIVA</w:t>
      </w:r>
    </w:p>
    <w:p w:rsidR="00CC124F" w:rsidRPr="00393559" w:rsidP="00C842D1" w14:paraId="39FB84DC" w14:textId="7744AB57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b/>
          <w:sz w:val="24"/>
          <w:szCs w:val="24"/>
        </w:rPr>
        <w:tab/>
      </w:r>
      <w:r w:rsidRPr="00393559">
        <w:rPr>
          <w:rFonts w:ascii="Arial" w:eastAsia="Arial" w:hAnsi="Arial" w:cs="Arial"/>
          <w:color w:val="404040"/>
          <w:sz w:val="24"/>
          <w:szCs w:val="24"/>
        </w:rPr>
        <w:t>Este projeto de lei visa instituir um instrumento de política urbana e ambiental de extrema relevância para o Município de Sumaré, ao conceder isenção do Imposto sobre a Propriedade Predial e Territorial Urbana (IPTU) para as Áreas de Preservação Permanente (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APPs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) com remanescentes de mata e floresta nativa localizadas em zona urbana ou de expansão urbana.</w:t>
      </w:r>
    </w:p>
    <w:p w:rsidR="00CC124F" w:rsidRPr="00393559" w:rsidP="00C842D1" w14:paraId="0124B4AE" w14:textId="7C34FA08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A fundamentação para a presente propositura assenta-se em </w:t>
      </w:r>
      <w:r w:rsidRPr="00393559" w:rsidR="00C842D1">
        <w:rPr>
          <w:rFonts w:ascii="Arial" w:eastAsia="Arial" w:hAnsi="Arial" w:cs="Arial"/>
          <w:color w:val="404040"/>
          <w:sz w:val="24"/>
          <w:szCs w:val="24"/>
        </w:rPr>
        <w:t>quatro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 pilares principais: o estímulo à preservação ambiental, a justiça fiscal e o alinhamento com as diretrizes de desenvolvimento sustentável.</w:t>
      </w:r>
    </w:p>
    <w:p w:rsidR="00CC124F" w:rsidRPr="00393559" w:rsidP="00C842D1" w14:paraId="783438FF" w14:textId="4CA425FD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1. Estímulo à Preservação e Conformidade Legal:</w:t>
      </w:r>
      <w:r w:rsidRPr="00393559">
        <w:rPr>
          <w:rFonts w:ascii="Arial" w:eastAsia="Arial" w:hAnsi="Arial" w:cs="Arial"/>
          <w:color w:val="404040"/>
          <w:sz w:val="24"/>
          <w:szCs w:val="24"/>
        </w:rPr>
        <w:br/>
      </w:r>
      <w:r w:rsidRPr="00393559" w:rsidR="007C0120">
        <w:rPr>
          <w:rFonts w:ascii="Arial" w:eastAsia="Arial" w:hAnsi="Arial" w:cs="Arial"/>
          <w:color w:val="404040"/>
          <w:sz w:val="24"/>
          <w:szCs w:val="24"/>
        </w:rPr>
        <w:t xml:space="preserve">Como previsto no 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Código Florestal (Lei Federal nº 12.651/2012)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, previsto</w:t>
      </w:r>
      <w:r w:rsidRPr="00393559" w:rsidR="00127D1C">
        <w:rPr>
          <w:rFonts w:ascii="Arial" w:eastAsia="Arial" w:hAnsi="Arial" w:cs="Arial"/>
          <w:color w:val="404040"/>
          <w:sz w:val="24"/>
          <w:szCs w:val="24"/>
        </w:rPr>
        <w:t xml:space="preserve"> nos </w:t>
      </w:r>
      <w:r w:rsidRPr="00393559" w:rsidR="00127D1C">
        <w:rPr>
          <w:rFonts w:ascii="Arial" w:eastAsia="Arial" w:hAnsi="Arial" w:cs="Arial"/>
          <w:b/>
          <w:bCs/>
          <w:color w:val="404040"/>
          <w:sz w:val="24"/>
          <w:szCs w:val="24"/>
        </w:rPr>
        <w:t>arts</w:t>
      </w:r>
      <w:r w:rsidRPr="00393559" w:rsidR="00127D1C">
        <w:rPr>
          <w:rFonts w:ascii="Arial" w:eastAsia="Arial" w:hAnsi="Arial" w:cs="Arial"/>
          <w:b/>
          <w:bCs/>
          <w:color w:val="404040"/>
          <w:sz w:val="24"/>
          <w:szCs w:val="24"/>
        </w:rPr>
        <w:t>. 4 e 6</w:t>
      </w:r>
      <w:r w:rsidRPr="00393559" w:rsidR="007C0120">
        <w:rPr>
          <w:rFonts w:ascii="Arial" w:eastAsia="Arial" w:hAnsi="Arial" w:cs="Arial"/>
          <w:b/>
          <w:bCs/>
          <w:color w:val="404040"/>
          <w:sz w:val="24"/>
          <w:szCs w:val="24"/>
        </w:rPr>
        <w:t xml:space="preserve"> </w:t>
      </w:r>
      <w:r w:rsidRPr="00393559" w:rsidR="007F7219">
        <w:rPr>
          <w:rFonts w:ascii="Arial" w:eastAsia="Arial" w:hAnsi="Arial" w:cs="Arial"/>
          <w:b/>
          <w:bCs/>
          <w:color w:val="404040"/>
          <w:sz w:val="24"/>
          <w:szCs w:val="24"/>
        </w:rPr>
        <w:t xml:space="preserve">– </w:t>
      </w:r>
      <w:r w:rsidRPr="00393559" w:rsidR="00127D1C">
        <w:rPr>
          <w:rFonts w:ascii="Arial" w:eastAsia="Arial" w:hAnsi="Arial" w:cs="Arial"/>
          <w:color w:val="404040"/>
          <w:sz w:val="24"/>
          <w:szCs w:val="24"/>
        </w:rPr>
        <w:t>a</w:t>
      </w:r>
      <w:r w:rsidRPr="00393559" w:rsidR="007F7219">
        <w:rPr>
          <w:rFonts w:ascii="Arial" w:eastAsia="Arial" w:hAnsi="Arial" w:cs="Arial"/>
          <w:color w:val="404040"/>
          <w:sz w:val="24"/>
          <w:szCs w:val="24"/>
        </w:rPr>
        <w:t xml:space="preserve">s Áreas de Preservação Permanente 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são patrimônio ambiental inestimável, essenciais para a manutenção da biodiversidade, a proteção de recursos hídricos, a estabilidade geológica e a qualidade de vida da população urbana. No entanto, a manutenção dessas áreas dentro do perímetro urbano impõe ao proprietário uma série de restrições de uso, inviabilizando a exploração econômica do terreno. Esta lei busca transformar esse ônus em um benefício mútuo: o proprietário é recompensado fiscalmente por prestar um serviço ambiental à coletividade, que usufrui dos benefícios ecossistêmicos gerados pela área preservada.</w:t>
      </w:r>
    </w:p>
    <w:p w:rsidR="00CC124F" w:rsidRPr="00393559" w:rsidP="00C842D1" w14:paraId="067B7AEA" w14:textId="77777777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2. Princípio da Justiça Fiscal e da Capacidade Contributiva:</w:t>
      </w:r>
      <w:r w:rsidRPr="00393559">
        <w:rPr>
          <w:rFonts w:ascii="Arial" w:eastAsia="Arial" w:hAnsi="Arial" w:cs="Arial"/>
          <w:color w:val="404040"/>
          <w:sz w:val="24"/>
          <w:szCs w:val="24"/>
        </w:rPr>
        <w:br/>
        <w:t xml:space="preserve">O princípio da capacidade contributiva, previsto no 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art. 145, §1º da Constituição Federal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, estabelece que os tributos devem ser graduados de acordo com a capacidade econômica do contribuinte. Um imóvel que possui significativa parcela de sua área tomada por uma APP, sobre a qual pesam intransponíveis limitações de uso, tem sua potencialidade de aproveitamento econômico drasticamente reduzida. Portanto, onerar integralmente esse imóvel com o IPTU configura-se como uma evidente injustiça fiscal. A isenção proposta corrige esta distorção, adequando a carga tributária à real capacidade contributiva do bem.</w:t>
      </w:r>
    </w:p>
    <w:p w:rsidR="00C104E2" w:rsidRPr="00393559" w:rsidP="00C842D1" w14:paraId="75CE7F19" w14:textId="654AB6D5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3.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 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 xml:space="preserve">Fundamento Constitucional de Competência Municipal para Proteção Ambiental: 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Com base no 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Art. 23 da Constituição Federal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, que estabelece as competências comuns da União, dos Estados, do Distrito Federal e dos Municípios, este projeto de lei se apresenta como um instrumento legítimo e necessário para que o Município de Sumaré cumpra com atribuições constitucionais, em especial os 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incisos VI e VII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, que determinam a todos os entes federativos o dever de "proteger o meio ambiente e combater a poluição em qualquer de suas formas" e "preservar as florestas, a fauna e a flora". Ao instituir um benefício fiscal por meio de isenção sobre o IPTU para quem mantém intactas suas Áreas de Preservação Permanente, o Poder Público Municipal vai além de simplesmente impedir a degradação (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inciso IV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); ele atua de forma proativa, fomentando ativamente a conservação dessas "paisagens naturais 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notáveis" (</w:t>
      </w: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inciso III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>), que são essenciais para a saúde e o bem-estar da população, cumprindo assim, de maneira eficaz e inovadora, o seu dever constitucional de zelar pelo patrimônio ambiental público.</w:t>
      </w:r>
    </w:p>
    <w:p w:rsidR="00C104E2" w:rsidRPr="00393559" w:rsidP="00C842D1" w14:paraId="792DB594" w14:textId="0B788BA9">
      <w:pPr>
        <w:spacing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b/>
          <w:bCs/>
          <w:color w:val="404040"/>
          <w:sz w:val="24"/>
          <w:szCs w:val="24"/>
        </w:rPr>
        <w:t>4</w:t>
      </w:r>
      <w:r w:rsidRPr="00393559" w:rsidR="00CC124F">
        <w:rPr>
          <w:rFonts w:ascii="Arial" w:eastAsia="Arial" w:hAnsi="Arial" w:cs="Arial"/>
          <w:b/>
          <w:bCs/>
          <w:color w:val="404040"/>
          <w:sz w:val="24"/>
          <w:szCs w:val="24"/>
        </w:rPr>
        <w:t>. Benefícios para o Município e Alinhamento com Políticas Públicas:</w:t>
      </w:r>
      <w:r w:rsidRPr="00393559" w:rsidR="00CC124F">
        <w:rPr>
          <w:rFonts w:ascii="Arial" w:eastAsia="Arial" w:hAnsi="Arial" w:cs="Arial"/>
          <w:color w:val="404040"/>
          <w:sz w:val="24"/>
          <w:szCs w:val="24"/>
        </w:rPr>
        <w:br/>
        <w:t xml:space="preserve">Ao incentivar a preservação, o Município avança significativamente em suas metas ambientais, protegendo seu patrimônio natural sem despender recursos públicos para a desapropriação dessas áreas. A medida contribui para a formação de corredores ecológicos, a regulação do microclima, a drenagem urbana e a valorização paisagística da cidade, refletindo diretamente na saúde e no bem-estar público. </w:t>
      </w:r>
      <w:r w:rsidRPr="00393559" w:rsidR="00127D1C">
        <w:rPr>
          <w:rFonts w:ascii="Arial" w:eastAsia="Arial" w:hAnsi="Arial" w:cs="Arial"/>
          <w:color w:val="404040"/>
          <w:sz w:val="24"/>
          <w:szCs w:val="24"/>
        </w:rPr>
        <w:t>Alinhado as</w:t>
      </w:r>
      <w:r w:rsidRPr="00393559" w:rsidR="00CC124F">
        <w:rPr>
          <w:rFonts w:ascii="Arial" w:eastAsia="Arial" w:hAnsi="Arial" w:cs="Arial"/>
          <w:color w:val="404040"/>
          <w:sz w:val="24"/>
          <w:szCs w:val="24"/>
        </w:rPr>
        <w:t xml:space="preserve"> diretrizes do </w:t>
      </w:r>
      <w:r w:rsidRPr="00393559" w:rsidR="00CC124F">
        <w:rPr>
          <w:rFonts w:ascii="Arial" w:eastAsia="Arial" w:hAnsi="Arial" w:cs="Arial"/>
          <w:b/>
          <w:bCs/>
          <w:color w:val="404040"/>
          <w:sz w:val="24"/>
          <w:szCs w:val="24"/>
        </w:rPr>
        <w:t>Estatuto da Cidade (Lei Federal nº 10.257/2001)</w:t>
      </w:r>
      <w:r w:rsidRPr="00393559" w:rsidR="00127D1C">
        <w:rPr>
          <w:rFonts w:ascii="Arial" w:eastAsia="Arial" w:hAnsi="Arial" w:cs="Arial"/>
          <w:b/>
          <w:bCs/>
          <w:color w:val="404040"/>
          <w:sz w:val="24"/>
          <w:szCs w:val="24"/>
        </w:rPr>
        <w:t xml:space="preserve">, previsto no </w:t>
      </w:r>
      <w:r w:rsidRPr="00393559" w:rsidR="00127D1C">
        <w:rPr>
          <w:rFonts w:ascii="Arial" w:eastAsia="Arial" w:hAnsi="Arial" w:cs="Arial"/>
          <w:b/>
          <w:bCs/>
          <w:color w:val="404040"/>
          <w:sz w:val="24"/>
          <w:szCs w:val="24"/>
        </w:rPr>
        <w:t>arts</w:t>
      </w:r>
      <w:r w:rsidRPr="00393559" w:rsidR="00127D1C">
        <w:rPr>
          <w:rFonts w:ascii="Arial" w:eastAsia="Arial" w:hAnsi="Arial" w:cs="Arial"/>
          <w:b/>
          <w:bCs/>
          <w:color w:val="404040"/>
          <w:sz w:val="24"/>
          <w:szCs w:val="24"/>
        </w:rPr>
        <w:t>. 2, XII, e 35, II –</w:t>
      </w:r>
      <w:r w:rsidRPr="00393559" w:rsidR="00127D1C">
        <w:rPr>
          <w:rFonts w:ascii="Arial" w:eastAsia="Arial" w:hAnsi="Arial" w:cs="Arial"/>
          <w:color w:val="404040"/>
          <w:sz w:val="24"/>
          <w:szCs w:val="24"/>
        </w:rPr>
        <w:t xml:space="preserve"> a </w:t>
      </w:r>
      <w:r w:rsidRPr="00393559" w:rsidR="00CC124F">
        <w:rPr>
          <w:rFonts w:ascii="Arial" w:eastAsia="Arial" w:hAnsi="Arial" w:cs="Arial"/>
          <w:color w:val="404040"/>
          <w:sz w:val="24"/>
          <w:szCs w:val="24"/>
        </w:rPr>
        <w:t>utilização de instrumentos urbanísticos e tributários para garantir a função social da propriedade e o desenvolvimento sustentável das cidades.</w:t>
      </w:r>
    </w:p>
    <w:p w:rsidR="00CC124F" w:rsidRPr="00393559" w:rsidP="00C842D1" w14:paraId="5748F3B8" w14:textId="77777777">
      <w:pPr>
        <w:spacing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color w:val="404040"/>
          <w:sz w:val="24"/>
          <w:szCs w:val="24"/>
        </w:rPr>
        <w:t>A exigência de renovação trienal do requerimento e a previsão de cassação da isenção em caso de descumprimento garantem o controle e a fiscalização por parte do Poder Público, assegurando que o benefício seja destinado exclusivamente às áreas que de fato cumprem sua função ecológica.</w:t>
      </w:r>
    </w:p>
    <w:p w:rsidR="006F245C" w:rsidRPr="00393559" w:rsidP="00C842D1" w14:paraId="797C6AE9" w14:textId="063FC105">
      <w:pPr>
        <w:spacing w:line="276" w:lineRule="auto"/>
        <w:ind w:firstLine="708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Diante do exposto, e reconhecendo a urgência de medidas concretas que conciliem o desenvolvimento urbano com a preservação ambiental, solicitamos o apoio dos nobres Pares para a aprovação deste projeto, que representa um avanço para </w:t>
      </w:r>
      <w:r w:rsidRPr="00393559" w:rsidR="00C842D1">
        <w:rPr>
          <w:rFonts w:ascii="Arial" w:eastAsia="Arial" w:hAnsi="Arial" w:cs="Arial"/>
          <w:color w:val="404040"/>
          <w:sz w:val="24"/>
          <w:szCs w:val="24"/>
        </w:rPr>
        <w:t>Sumaré</w:t>
      </w:r>
      <w:r w:rsidRPr="00393559">
        <w:rPr>
          <w:rFonts w:ascii="Arial" w:eastAsia="Arial" w:hAnsi="Arial" w:cs="Arial"/>
          <w:color w:val="404040"/>
          <w:sz w:val="24"/>
          <w:szCs w:val="24"/>
        </w:rPr>
        <w:t xml:space="preserve"> e um legado para as futuras gerações.</w:t>
      </w:r>
    </w:p>
    <w:p w:rsidR="006F245C" w:rsidRPr="00393559" w:rsidP="00C842D1" w14:paraId="351E64AE" w14:textId="77777777">
      <w:pPr>
        <w:spacing w:line="276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6F245C" w:rsidRPr="00393559" w:rsidP="00C842D1" w14:paraId="6A0940BF" w14:textId="4E7F2DEE">
      <w:pPr>
        <w:spacing w:line="276" w:lineRule="auto"/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eastAsia="Arial" w:hAnsi="Arial" w:cs="Arial"/>
          <w:sz w:val="24"/>
          <w:szCs w:val="24"/>
        </w:rPr>
        <w:t xml:space="preserve">Sala das Sessões, </w:t>
      </w:r>
      <w:r w:rsidRPr="00393559" w:rsidR="00C842D1">
        <w:rPr>
          <w:rFonts w:ascii="Arial" w:eastAsia="Arial" w:hAnsi="Arial" w:cs="Arial"/>
          <w:sz w:val="24"/>
          <w:szCs w:val="24"/>
        </w:rPr>
        <w:t>16</w:t>
      </w:r>
      <w:r w:rsidRPr="00393559">
        <w:rPr>
          <w:rFonts w:ascii="Arial" w:eastAsia="Arial" w:hAnsi="Arial" w:cs="Arial"/>
          <w:sz w:val="24"/>
          <w:szCs w:val="24"/>
        </w:rPr>
        <w:t xml:space="preserve"> de </w:t>
      </w:r>
      <w:r w:rsidRPr="00393559" w:rsidR="004351BF">
        <w:rPr>
          <w:rFonts w:ascii="Arial" w:eastAsia="Arial" w:hAnsi="Arial" w:cs="Arial"/>
          <w:sz w:val="24"/>
          <w:szCs w:val="24"/>
        </w:rPr>
        <w:t xml:space="preserve">setembro </w:t>
      </w:r>
      <w:r w:rsidRPr="00393559">
        <w:rPr>
          <w:rFonts w:ascii="Arial" w:eastAsia="Arial" w:hAnsi="Arial" w:cs="Arial"/>
          <w:sz w:val="24"/>
          <w:szCs w:val="24"/>
        </w:rPr>
        <w:t>de 2025.</w:t>
      </w:r>
    </w:p>
    <w:p w:rsidR="006F245C" w:rsidRPr="00393559" w:rsidP="00C842D1" w14:paraId="0005E1EB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93559">
        <w:rPr>
          <w:rFonts w:ascii="Arial" w:hAnsi="Arial" w:cs="Arial"/>
          <w:noProof/>
        </w:rPr>
        <w:drawing>
          <wp:inline distT="0" distB="0" distL="0" distR="0">
            <wp:extent cx="3017993" cy="1305078"/>
            <wp:effectExtent l="0" t="0" r="0" b="0"/>
            <wp:docPr id="1238565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0213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45C" w:rsidRPr="00393559" w:rsidP="00C842D1" w14:paraId="7CB89184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45C" w14:paraId="3BF75F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6F245C" w14:paraId="059436A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44" name="Conector de Seta Reta 12385652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454160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5346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F245C" w14:paraId="2201D79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45C" w14:paraId="3D6EAA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45C" w14:paraId="7C098FA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8659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5" name="Agrupar 12385652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42055235" name="Agrupar 2042055235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014027524" name="Retângulo 101402752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F245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887576122" name="Agrupar 88757612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378821626" name="Retângulo 137882162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F245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272194444" name="Agrupar 127219444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518753902" name="Retângulo 518753902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F245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814124631" name="Agrupar 181412463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790124035" name="Retângulo 790124035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F245C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9459018" name="Forma Livre: Forma 129459018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616475625" name="Forma Livre: Forma 1616475625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701570272" name="Forma Livre: Forma 1701570272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45" o:spid="_x0000_s2049" style="width:595.1pt;height:808.7pt;margin-top:0;margin-left:-65pt;mso-wrap-distance-left:0;mso-wrap-distance-right:0;position:absolute;z-index:-251655168" coordorigin="15671,0" coordsize="75577,75600">
              <v:group id="Agrupar 2042055235" o:spid="_x0000_s2050" style="width:75577;height:75600;left:15671;position:absolute" coordorigin="15671,0" coordsize="75577,75600">
                <v:rect id="Retângulo 101402752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6F245C" w14:paraId="01A8705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887576122" o:spid="_x0000_s2052" style="width:75577;height:75600;left:15671;position:absolute" coordorigin="15671,0" coordsize="75577,75600">
                  <v:rect id="Retângulo 137882162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6F245C" w14:paraId="622CE9EA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272194444" o:spid="_x0000_s2054" style="width:75577;height:75600;left:15671;position:absolute" coordorigin="15671,0" coordsize="75577,75600">
                    <v:rect id="Retângulo 518753902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6F245C" w14:paraId="311CD584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814124631" o:spid="_x0000_s2056" style="width:75577;height:75600;left:15671;position:absolute" coordsize="75577,102703">
                      <v:rect id="Retângulo 790124035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6F245C" w14:paraId="10B0845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29459018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616475625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701570272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5C"/>
    <w:rsid w:val="00051735"/>
    <w:rsid w:val="00127D1C"/>
    <w:rsid w:val="001C6CD7"/>
    <w:rsid w:val="0027217F"/>
    <w:rsid w:val="002E2CA0"/>
    <w:rsid w:val="00302A3B"/>
    <w:rsid w:val="00393559"/>
    <w:rsid w:val="003F4DFF"/>
    <w:rsid w:val="00407970"/>
    <w:rsid w:val="00426047"/>
    <w:rsid w:val="004351BF"/>
    <w:rsid w:val="004A76DF"/>
    <w:rsid w:val="00525098"/>
    <w:rsid w:val="00557BB9"/>
    <w:rsid w:val="006F245C"/>
    <w:rsid w:val="00754771"/>
    <w:rsid w:val="00786314"/>
    <w:rsid w:val="007C0120"/>
    <w:rsid w:val="007F7219"/>
    <w:rsid w:val="00812123"/>
    <w:rsid w:val="00890766"/>
    <w:rsid w:val="00914233"/>
    <w:rsid w:val="00B06717"/>
    <w:rsid w:val="00B10A60"/>
    <w:rsid w:val="00B24A65"/>
    <w:rsid w:val="00C104E2"/>
    <w:rsid w:val="00C148BA"/>
    <w:rsid w:val="00C842D1"/>
    <w:rsid w:val="00CC124F"/>
    <w:rsid w:val="00E5542D"/>
    <w:rsid w:val="00F27BAE"/>
    <w:rsid w:val="00FC24C8"/>
    <w:rsid w:val="00FD08A2"/>
    <w:rsid w:val="00FE09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93D87B-2B5D-46EB-BEDD-A8FC78CD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6+k6NyRCfHQebhlWXx5LpVNwA==">CgMxLjAyCGguZ2pkZ3hzOAByITFfUURicnJqSGFtZm1YTU0wYzNNMmt2dVRTVDIxaHpJcQ==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</Pages>
  <Words>1039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11</cp:revision>
  <cp:lastPrinted>2025-09-10T19:39:00Z</cp:lastPrinted>
  <dcterms:created xsi:type="dcterms:W3CDTF">2025-02-12T17:56:00Z</dcterms:created>
  <dcterms:modified xsi:type="dcterms:W3CDTF">2025-09-15T17:37:00Z</dcterms:modified>
</cp:coreProperties>
</file>