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isenção de Taxas Municipais às Associações de Moradores e congêneres,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