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58FF" w14:paraId="0BD109F3" w14:textId="0988F876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PROJETO DE LEI Nº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  <w:t xml:space="preserve">, DE </w:t>
      </w:r>
      <w:r w:rsidR="00431AAD">
        <w:rPr>
          <w:rFonts w:ascii="Arial" w:eastAsia="Arial" w:hAnsi="Arial" w:cs="Arial"/>
          <w:b/>
          <w:sz w:val="24"/>
          <w:szCs w:val="24"/>
        </w:rPr>
        <w:t>0</w:t>
      </w:r>
      <w:r w:rsidR="00D515B6">
        <w:rPr>
          <w:rFonts w:ascii="Arial" w:eastAsia="Arial" w:hAnsi="Arial" w:cs="Arial"/>
          <w:b/>
          <w:sz w:val="24"/>
          <w:szCs w:val="24"/>
        </w:rPr>
        <w:t>9</w:t>
      </w:r>
      <w:r w:rsidR="00431AAD">
        <w:rPr>
          <w:rFonts w:ascii="Arial" w:eastAsia="Arial" w:hAnsi="Arial" w:cs="Arial"/>
          <w:b/>
          <w:sz w:val="24"/>
          <w:szCs w:val="24"/>
        </w:rPr>
        <w:t xml:space="preserve"> DE SETEMBRO</w:t>
      </w:r>
      <w:r>
        <w:rPr>
          <w:rFonts w:ascii="Arial" w:eastAsia="Arial" w:hAnsi="Arial" w:cs="Arial"/>
          <w:b/>
          <w:sz w:val="24"/>
          <w:szCs w:val="24"/>
        </w:rPr>
        <w:t xml:space="preserve"> DE 2025.</w:t>
      </w:r>
    </w:p>
    <w:p w:rsidR="007558FF" w:rsidRPr="009A40EE" w:rsidP="009A40EE" w14:paraId="1A841BB9" w14:textId="5D4ACCAC">
      <w:pPr>
        <w:spacing w:before="100" w:beforeAutospacing="1" w:after="100" w:afterAutospacing="1" w:line="240" w:lineRule="auto"/>
        <w:ind w:left="467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“</w:t>
      </w:r>
      <w:r w:rsidRPr="00A34601" w:rsidR="00A34601">
        <w:rPr>
          <w:rFonts w:ascii="Arial" w:eastAsia="Times New Roman" w:hAnsi="Arial" w:cs="Arial"/>
          <w:b/>
          <w:bCs/>
          <w:sz w:val="24"/>
          <w:szCs w:val="24"/>
        </w:rPr>
        <w:t>Dispõe sobre a distribuição gratuita de sensores para monitoramento contínuo da glicose a crianças, adolescentes</w:t>
      </w:r>
      <w:r w:rsidR="00621D11">
        <w:rPr>
          <w:rFonts w:ascii="Arial" w:eastAsia="Times New Roman" w:hAnsi="Arial" w:cs="Arial"/>
          <w:b/>
          <w:bCs/>
          <w:sz w:val="24"/>
          <w:szCs w:val="24"/>
        </w:rPr>
        <w:t xml:space="preserve">, </w:t>
      </w:r>
      <w:r w:rsidRPr="00A34601" w:rsidR="00A34601">
        <w:rPr>
          <w:rFonts w:ascii="Arial" w:eastAsia="Times New Roman" w:hAnsi="Arial" w:cs="Arial"/>
          <w:b/>
          <w:bCs/>
          <w:sz w:val="24"/>
          <w:szCs w:val="24"/>
        </w:rPr>
        <w:t xml:space="preserve">idosos </w:t>
      </w:r>
      <w:r w:rsidR="00621D11">
        <w:rPr>
          <w:rFonts w:ascii="Arial" w:eastAsia="Times New Roman" w:hAnsi="Arial" w:cs="Arial"/>
          <w:b/>
          <w:bCs/>
          <w:sz w:val="24"/>
          <w:szCs w:val="24"/>
        </w:rPr>
        <w:t xml:space="preserve">e </w:t>
      </w:r>
      <w:r w:rsidR="00D515B6">
        <w:rPr>
          <w:rFonts w:ascii="Arial" w:eastAsia="Times New Roman" w:hAnsi="Arial" w:cs="Arial"/>
          <w:b/>
          <w:bCs/>
          <w:sz w:val="24"/>
          <w:szCs w:val="24"/>
        </w:rPr>
        <w:t>pessoas c</w:t>
      </w:r>
      <w:r w:rsidRPr="00D515B6" w:rsidR="00D515B6">
        <w:rPr>
          <w:rFonts w:ascii="Arial" w:eastAsia="Times New Roman" w:hAnsi="Arial" w:cs="Arial"/>
          <w:b/>
          <w:bCs/>
          <w:sz w:val="24"/>
          <w:szCs w:val="24"/>
        </w:rPr>
        <w:t xml:space="preserve">om </w:t>
      </w:r>
      <w:r w:rsidR="00D515B6">
        <w:rPr>
          <w:rFonts w:ascii="Arial" w:eastAsia="Times New Roman" w:hAnsi="Arial" w:cs="Arial"/>
          <w:b/>
          <w:bCs/>
          <w:sz w:val="24"/>
          <w:szCs w:val="24"/>
        </w:rPr>
        <w:t>d</w:t>
      </w:r>
      <w:r w:rsidRPr="00D515B6" w:rsidR="00D515B6">
        <w:rPr>
          <w:rFonts w:ascii="Arial" w:eastAsia="Times New Roman" w:hAnsi="Arial" w:cs="Arial"/>
          <w:b/>
          <w:bCs/>
          <w:sz w:val="24"/>
          <w:szCs w:val="24"/>
        </w:rPr>
        <w:t>eficiência</w:t>
      </w:r>
      <w:r w:rsidR="00D515B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A34601" w:rsidR="00A34601">
        <w:rPr>
          <w:rFonts w:ascii="Arial" w:eastAsia="Times New Roman" w:hAnsi="Arial" w:cs="Arial"/>
          <w:b/>
          <w:bCs/>
          <w:sz w:val="24"/>
          <w:szCs w:val="24"/>
        </w:rPr>
        <w:t>no âmbito do Município de Sumaré, e dá outras providências</w:t>
      </w:r>
      <w:r w:rsidRPr="002758CB" w:rsidR="009A40EE"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sz w:val="24"/>
          <w:szCs w:val="24"/>
        </w:rPr>
        <w:t>”.</w:t>
      </w:r>
    </w:p>
    <w:p w:rsidR="007558FF" w14:paraId="592855C2" w14:textId="77777777">
      <w:pPr>
        <w:ind w:left="467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Autoria: Vereador Dudu Lima.</w:t>
      </w:r>
    </w:p>
    <w:p w:rsidR="007558FF" w14:paraId="7B6ECD3D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7558FF" w14:paraId="64C48E3A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  <w:t xml:space="preserve">O EXMO. SR. PREFEITO MUNICIPAL DE SUMARÉ,                                                                                                                                                   </w:t>
      </w:r>
    </w:p>
    <w:p w:rsidR="009A40EE" w:rsidP="009A40EE" w14:paraId="20DDAE5F" w14:textId="77777777">
      <w:pPr>
        <w:jc w:val="both"/>
        <w:rPr>
          <w:rFonts w:ascii="Arial" w:eastAsia="Arial" w:hAnsi="Arial" w:cs="Arial"/>
          <w:sz w:val="24"/>
          <w:szCs w:val="24"/>
        </w:rPr>
      </w:pPr>
      <w:r w:rsidRPr="00723FA3">
        <w:rPr>
          <w:rFonts w:ascii="Arial" w:eastAsia="Arial" w:hAnsi="Arial" w:cs="Arial"/>
          <w:sz w:val="24"/>
          <w:szCs w:val="24"/>
        </w:rPr>
        <w:t>O</w:t>
      </w:r>
      <w:r w:rsidRPr="00723FA3">
        <w:rPr>
          <w:rFonts w:ascii="Arial" w:eastAsia="Arial" w:hAnsi="Arial" w:cs="Arial"/>
          <w:b/>
          <w:sz w:val="24"/>
          <w:szCs w:val="24"/>
        </w:rPr>
        <w:t xml:space="preserve"> PREFEITO MUNICIPAL DE SUMARÉ</w:t>
      </w:r>
      <w:r w:rsidRPr="00723FA3">
        <w:rPr>
          <w:rFonts w:ascii="Arial" w:eastAsia="Arial" w:hAnsi="Arial" w:cs="Arial"/>
          <w:sz w:val="24"/>
          <w:szCs w:val="24"/>
        </w:rPr>
        <w:t>, faz saber que a Câmara Municipal de Sumaré, Estado de São Paulo, no uso de suas atribuições legais previstas no art. 23 da Lei Orgânica do Município, aprovou e eu promulgo a seguinte Lei:</w:t>
      </w:r>
    </w:p>
    <w:p w:rsidR="00A34601" w:rsidRPr="00F364D3" w:rsidP="00A34601" w14:paraId="5E9A7394" w14:textId="77777777">
      <w:pPr>
        <w:jc w:val="both"/>
        <w:rPr>
          <w:rFonts w:ascii="Arial" w:hAnsi="Arial" w:cs="Arial"/>
          <w:sz w:val="24"/>
          <w:szCs w:val="24"/>
        </w:rPr>
      </w:pPr>
      <w:r w:rsidRPr="00F364D3">
        <w:rPr>
          <w:rFonts w:ascii="Arial" w:hAnsi="Arial" w:cs="Arial"/>
          <w:sz w:val="24"/>
          <w:szCs w:val="24"/>
        </w:rPr>
        <w:t>Art. 1º</w:t>
      </w:r>
      <w:r>
        <w:rPr>
          <w:rFonts w:ascii="Arial" w:hAnsi="Arial" w:cs="Arial"/>
          <w:sz w:val="24"/>
          <w:szCs w:val="24"/>
        </w:rPr>
        <w:t xml:space="preserve"> </w:t>
      </w:r>
      <w:r w:rsidRPr="00F364D3">
        <w:rPr>
          <w:rFonts w:ascii="Arial" w:hAnsi="Arial" w:cs="Arial"/>
          <w:sz w:val="24"/>
          <w:szCs w:val="24"/>
        </w:rPr>
        <w:t xml:space="preserve">Fica instituído, no âmbito do Município de </w:t>
      </w:r>
      <w:r w:rsidRPr="00C306D1">
        <w:rPr>
          <w:rFonts w:ascii="Arial" w:hAnsi="Arial" w:cs="Arial"/>
          <w:sz w:val="24"/>
          <w:szCs w:val="24"/>
        </w:rPr>
        <w:t>Sumaré</w:t>
      </w:r>
      <w:r w:rsidRPr="00F364D3">
        <w:rPr>
          <w:rFonts w:ascii="Arial" w:hAnsi="Arial" w:cs="Arial"/>
          <w:sz w:val="24"/>
          <w:szCs w:val="24"/>
        </w:rPr>
        <w:t>, o Programa Municipal de Distribuição Gratuita de Sensores para Monitoramento Contínuo da Glicose, sob responsabilidade da Secretaria Municipal de Saúde.</w:t>
      </w:r>
    </w:p>
    <w:p w:rsidR="00A34601" w:rsidRPr="00F364D3" w:rsidP="00A34601" w14:paraId="6650E5AE" w14:textId="3A3915CF">
      <w:pPr>
        <w:jc w:val="both"/>
        <w:rPr>
          <w:rFonts w:ascii="Arial" w:hAnsi="Arial" w:cs="Arial"/>
          <w:sz w:val="24"/>
          <w:szCs w:val="24"/>
        </w:rPr>
      </w:pPr>
      <w:r w:rsidRPr="00F364D3">
        <w:rPr>
          <w:rFonts w:ascii="Arial" w:hAnsi="Arial" w:cs="Arial"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</w:t>
      </w:r>
      <w:r w:rsidRPr="00F364D3">
        <w:rPr>
          <w:rFonts w:ascii="Arial" w:hAnsi="Arial" w:cs="Arial"/>
          <w:sz w:val="24"/>
          <w:szCs w:val="24"/>
        </w:rPr>
        <w:t>O programa tem como objetivo garantir a crianças, adolescentes</w:t>
      </w:r>
      <w:r w:rsidR="00D515B6">
        <w:rPr>
          <w:rFonts w:ascii="Arial" w:hAnsi="Arial" w:cs="Arial"/>
          <w:sz w:val="24"/>
          <w:szCs w:val="24"/>
        </w:rPr>
        <w:t>,</w:t>
      </w:r>
      <w:r w:rsidRPr="00F364D3">
        <w:rPr>
          <w:rFonts w:ascii="Arial" w:hAnsi="Arial" w:cs="Arial"/>
          <w:sz w:val="24"/>
          <w:szCs w:val="24"/>
        </w:rPr>
        <w:t xml:space="preserve"> idosos portadores de diabetes</w:t>
      </w:r>
      <w:r w:rsidR="00D515B6">
        <w:rPr>
          <w:rFonts w:ascii="Arial" w:hAnsi="Arial" w:cs="Arial"/>
          <w:sz w:val="24"/>
          <w:szCs w:val="24"/>
        </w:rPr>
        <w:t xml:space="preserve"> e pessoas com deficiência</w:t>
      </w:r>
      <w:r w:rsidRPr="00F364D3">
        <w:rPr>
          <w:rFonts w:ascii="Arial" w:hAnsi="Arial" w:cs="Arial"/>
          <w:sz w:val="24"/>
          <w:szCs w:val="24"/>
        </w:rPr>
        <w:t xml:space="preserve">, devidamente diagnosticados e cadastrados na rede municipal de saúde, acesso gratuito </w:t>
      </w:r>
      <w:r w:rsidRPr="00F364D3" w:rsidR="00D515B6">
        <w:rPr>
          <w:rFonts w:ascii="Arial" w:hAnsi="Arial" w:cs="Arial"/>
          <w:sz w:val="24"/>
          <w:szCs w:val="24"/>
        </w:rPr>
        <w:t>à</w:t>
      </w:r>
      <w:r w:rsidRPr="00F364D3">
        <w:rPr>
          <w:rFonts w:ascii="Arial" w:hAnsi="Arial" w:cs="Arial"/>
          <w:sz w:val="24"/>
          <w:szCs w:val="24"/>
        </w:rPr>
        <w:t xml:space="preserve"> sensores para monitoramento contínuo da glicose.</w:t>
      </w:r>
    </w:p>
    <w:p w:rsidR="00A34601" w:rsidRPr="00F364D3" w:rsidP="00A34601" w14:paraId="48883A26" w14:textId="77777777">
      <w:pPr>
        <w:jc w:val="both"/>
        <w:rPr>
          <w:rFonts w:ascii="Arial" w:hAnsi="Arial" w:cs="Arial"/>
          <w:sz w:val="24"/>
          <w:szCs w:val="24"/>
        </w:rPr>
      </w:pPr>
      <w:r w:rsidRPr="00F364D3">
        <w:rPr>
          <w:rFonts w:ascii="Arial" w:hAnsi="Arial" w:cs="Arial"/>
          <w:sz w:val="24"/>
          <w:szCs w:val="24"/>
        </w:rPr>
        <w:t>Art. 3º</w:t>
      </w:r>
      <w:r>
        <w:rPr>
          <w:rFonts w:ascii="Arial" w:hAnsi="Arial" w:cs="Arial"/>
          <w:sz w:val="24"/>
          <w:szCs w:val="24"/>
        </w:rPr>
        <w:t xml:space="preserve"> </w:t>
      </w:r>
      <w:r w:rsidRPr="00F364D3">
        <w:rPr>
          <w:rFonts w:ascii="Arial" w:hAnsi="Arial" w:cs="Arial"/>
          <w:sz w:val="24"/>
          <w:szCs w:val="24"/>
        </w:rPr>
        <w:t>São beneficiários desta Lei:</w:t>
      </w:r>
    </w:p>
    <w:p w:rsidR="00A34601" w:rsidRPr="00F364D3" w:rsidP="00A34601" w14:paraId="2D2B99E6" w14:textId="77777777">
      <w:pPr>
        <w:jc w:val="both"/>
        <w:rPr>
          <w:rFonts w:ascii="Arial" w:hAnsi="Arial" w:cs="Arial"/>
          <w:sz w:val="24"/>
          <w:szCs w:val="24"/>
        </w:rPr>
      </w:pPr>
      <w:r w:rsidRPr="00F364D3">
        <w:rPr>
          <w:rFonts w:ascii="Arial" w:hAnsi="Arial" w:cs="Arial"/>
          <w:sz w:val="24"/>
          <w:szCs w:val="24"/>
        </w:rPr>
        <w:t>I – crianças e adolescentes de até 18 (dezoito) anos com diagnóstico de diabetes, em acompanhamento pela rede municipal de saúde;</w:t>
      </w:r>
    </w:p>
    <w:p w:rsidR="00A34601" w:rsidRPr="00F364D3" w:rsidP="00A34601" w14:paraId="7CBBDB13" w14:textId="77777777">
      <w:pPr>
        <w:jc w:val="both"/>
        <w:rPr>
          <w:rFonts w:ascii="Arial" w:hAnsi="Arial" w:cs="Arial"/>
          <w:sz w:val="24"/>
          <w:szCs w:val="24"/>
        </w:rPr>
      </w:pPr>
      <w:r w:rsidRPr="00F364D3">
        <w:rPr>
          <w:rFonts w:ascii="Arial" w:hAnsi="Arial" w:cs="Arial"/>
          <w:sz w:val="24"/>
          <w:szCs w:val="24"/>
        </w:rPr>
        <w:t>II – idosos com idade igual ou superior a 60 (sessenta) anos diagnosticados com diabetes;</w:t>
      </w:r>
    </w:p>
    <w:p w:rsidR="0069602A" w:rsidP="00A34601" w14:paraId="60CE8CAB" w14:textId="0704E35F">
      <w:pPr>
        <w:jc w:val="both"/>
        <w:rPr>
          <w:rFonts w:ascii="Arial" w:hAnsi="Arial" w:cs="Arial"/>
          <w:sz w:val="24"/>
          <w:szCs w:val="24"/>
        </w:rPr>
      </w:pPr>
      <w:r w:rsidRPr="00F364D3">
        <w:rPr>
          <w:rFonts w:ascii="Arial" w:hAnsi="Arial" w:cs="Arial"/>
          <w:sz w:val="24"/>
          <w:szCs w:val="24"/>
        </w:rPr>
        <w:t>III</w:t>
      </w:r>
      <w:r>
        <w:rPr>
          <w:rFonts w:ascii="Arial" w:hAnsi="Arial" w:cs="Arial"/>
          <w:sz w:val="24"/>
          <w:szCs w:val="24"/>
        </w:rPr>
        <w:t xml:space="preserve"> –</w:t>
      </w:r>
      <w:r w:rsidRPr="0069602A">
        <w:rPr>
          <w:rFonts w:ascii="Arial" w:hAnsi="Arial" w:cs="Arial"/>
          <w:sz w:val="24"/>
          <w:szCs w:val="24"/>
        </w:rPr>
        <w:t xml:space="preserve"> pessoas com deficiência mental, física, sensorial ou intelectual, seja ela de nascença ou adquirida após uma doença ou acidente</w:t>
      </w:r>
      <w:r>
        <w:rPr>
          <w:rFonts w:ascii="Arial" w:hAnsi="Arial" w:cs="Arial"/>
          <w:sz w:val="24"/>
          <w:szCs w:val="24"/>
        </w:rPr>
        <w:t>;</w:t>
      </w:r>
    </w:p>
    <w:p w:rsidR="00A34601" w:rsidRPr="00F364D3" w:rsidP="00A34601" w14:paraId="4DD075E4" w14:textId="7E062E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  </w:t>
      </w:r>
      <w:r w:rsidRPr="00F364D3">
        <w:rPr>
          <w:rFonts w:ascii="Arial" w:hAnsi="Arial" w:cs="Arial"/>
          <w:sz w:val="24"/>
          <w:szCs w:val="24"/>
        </w:rPr>
        <w:t>– demais casos que, a critério médico devidamente justificado, demandem o uso do dispositivo para melhor</w:t>
      </w:r>
      <w:r w:rsidR="00D515B6">
        <w:rPr>
          <w:rFonts w:ascii="Arial" w:hAnsi="Arial" w:cs="Arial"/>
          <w:sz w:val="24"/>
          <w:szCs w:val="24"/>
        </w:rPr>
        <w:t xml:space="preserve"> e mais conforto no</w:t>
      </w:r>
      <w:r w:rsidRPr="00F364D3">
        <w:rPr>
          <w:rFonts w:ascii="Arial" w:hAnsi="Arial" w:cs="Arial"/>
          <w:sz w:val="24"/>
          <w:szCs w:val="24"/>
        </w:rPr>
        <w:t xml:space="preserve"> controle da doença.</w:t>
      </w:r>
    </w:p>
    <w:p w:rsidR="00A34601" w:rsidRPr="00F364D3" w:rsidP="00A34601" w14:paraId="51478DC2" w14:textId="77777777">
      <w:pPr>
        <w:jc w:val="both"/>
        <w:rPr>
          <w:rFonts w:ascii="Arial" w:hAnsi="Arial" w:cs="Arial"/>
          <w:sz w:val="24"/>
          <w:szCs w:val="24"/>
        </w:rPr>
      </w:pPr>
      <w:r w:rsidRPr="00F364D3">
        <w:rPr>
          <w:rFonts w:ascii="Arial" w:hAnsi="Arial" w:cs="Arial"/>
          <w:sz w:val="24"/>
          <w:szCs w:val="24"/>
        </w:rPr>
        <w:t>Art. 4º</w:t>
      </w:r>
      <w:r>
        <w:rPr>
          <w:rFonts w:ascii="Arial" w:hAnsi="Arial" w:cs="Arial"/>
          <w:sz w:val="24"/>
          <w:szCs w:val="24"/>
        </w:rPr>
        <w:t xml:space="preserve"> </w:t>
      </w:r>
      <w:r w:rsidRPr="00F364D3">
        <w:rPr>
          <w:rFonts w:ascii="Arial" w:hAnsi="Arial" w:cs="Arial"/>
          <w:sz w:val="24"/>
          <w:szCs w:val="24"/>
        </w:rPr>
        <w:t>Compete à Secretaria Municipal de Saúde:</w:t>
      </w:r>
    </w:p>
    <w:p w:rsidR="00A34601" w:rsidRPr="00F364D3" w:rsidP="00A34601" w14:paraId="411634D3" w14:textId="77777777">
      <w:pPr>
        <w:jc w:val="both"/>
        <w:rPr>
          <w:rFonts w:ascii="Arial" w:hAnsi="Arial" w:cs="Arial"/>
          <w:sz w:val="24"/>
          <w:szCs w:val="24"/>
        </w:rPr>
      </w:pPr>
      <w:r w:rsidRPr="00F364D3">
        <w:rPr>
          <w:rFonts w:ascii="Arial" w:hAnsi="Arial" w:cs="Arial"/>
          <w:sz w:val="24"/>
          <w:szCs w:val="24"/>
        </w:rPr>
        <w:t>I – adquirir, distribuir e acompanhar o fornecimento dos sensores de monitoramento contínuo de glicose;</w:t>
      </w:r>
    </w:p>
    <w:p w:rsidR="00A34601" w:rsidRPr="00F364D3" w:rsidP="00A34601" w14:paraId="0BF56B55" w14:textId="77777777">
      <w:pPr>
        <w:jc w:val="both"/>
        <w:rPr>
          <w:rFonts w:ascii="Arial" w:hAnsi="Arial" w:cs="Arial"/>
          <w:sz w:val="24"/>
          <w:szCs w:val="24"/>
        </w:rPr>
      </w:pPr>
      <w:r w:rsidRPr="00F364D3">
        <w:rPr>
          <w:rFonts w:ascii="Arial" w:hAnsi="Arial" w:cs="Arial"/>
          <w:sz w:val="24"/>
          <w:szCs w:val="24"/>
        </w:rPr>
        <w:t>II – manter cadastro atualizado dos beneficiários;</w:t>
      </w:r>
    </w:p>
    <w:p w:rsidR="00A34601" w:rsidRPr="00F364D3" w:rsidP="00A34601" w14:paraId="612345D6" w14:textId="77777777">
      <w:pPr>
        <w:jc w:val="both"/>
        <w:rPr>
          <w:rFonts w:ascii="Arial" w:hAnsi="Arial" w:cs="Arial"/>
          <w:sz w:val="24"/>
          <w:szCs w:val="24"/>
        </w:rPr>
      </w:pPr>
      <w:r w:rsidRPr="00F364D3">
        <w:rPr>
          <w:rFonts w:ascii="Arial" w:hAnsi="Arial" w:cs="Arial"/>
          <w:sz w:val="24"/>
          <w:szCs w:val="24"/>
        </w:rPr>
        <w:t>III – fornecer orientação e capacitação aos pacientes e familiares sobre o uso adequado do equipamento;</w:t>
      </w:r>
    </w:p>
    <w:p w:rsidR="00A34601" w:rsidRPr="00F364D3" w:rsidP="00A34601" w14:paraId="213B1828" w14:textId="77777777">
      <w:pPr>
        <w:jc w:val="both"/>
        <w:rPr>
          <w:rFonts w:ascii="Arial" w:hAnsi="Arial" w:cs="Arial"/>
          <w:sz w:val="24"/>
          <w:szCs w:val="24"/>
        </w:rPr>
      </w:pPr>
      <w:r w:rsidRPr="00F364D3">
        <w:rPr>
          <w:rFonts w:ascii="Arial" w:hAnsi="Arial" w:cs="Arial"/>
          <w:sz w:val="24"/>
          <w:szCs w:val="24"/>
        </w:rPr>
        <w:t>IV – realizar o acompanhamento periódico para avaliação da eficácia do tratamento.</w:t>
      </w:r>
    </w:p>
    <w:p w:rsidR="00A34601" w:rsidRPr="00F364D3" w:rsidP="00A34601" w14:paraId="731A8235" w14:textId="77777777">
      <w:pPr>
        <w:jc w:val="both"/>
        <w:rPr>
          <w:rFonts w:ascii="Arial" w:hAnsi="Arial" w:cs="Arial"/>
          <w:sz w:val="24"/>
          <w:szCs w:val="24"/>
        </w:rPr>
      </w:pPr>
      <w:r w:rsidRPr="00F364D3">
        <w:rPr>
          <w:rFonts w:ascii="Arial" w:hAnsi="Arial" w:cs="Arial"/>
          <w:sz w:val="24"/>
          <w:szCs w:val="24"/>
        </w:rPr>
        <w:t>Art. 5º</w:t>
      </w:r>
      <w:r>
        <w:rPr>
          <w:rFonts w:ascii="Arial" w:hAnsi="Arial" w:cs="Arial"/>
          <w:sz w:val="24"/>
          <w:szCs w:val="24"/>
        </w:rPr>
        <w:t xml:space="preserve"> </w:t>
      </w:r>
      <w:r w:rsidRPr="00F364D3">
        <w:rPr>
          <w:rFonts w:ascii="Arial" w:hAnsi="Arial" w:cs="Arial"/>
          <w:sz w:val="24"/>
          <w:szCs w:val="24"/>
        </w:rPr>
        <w:t>As despesas decorrentes da execução desta Lei correrão por conta de dotações orçamentárias próprias, suplementadas se necessário.</w:t>
      </w:r>
    </w:p>
    <w:p w:rsidR="00A34601" w:rsidRPr="00F364D3" w:rsidP="00A34601" w14:paraId="5B0216A0" w14:textId="77777777">
      <w:pPr>
        <w:jc w:val="both"/>
        <w:rPr>
          <w:rFonts w:ascii="Arial" w:hAnsi="Arial" w:cs="Arial"/>
          <w:sz w:val="24"/>
          <w:szCs w:val="24"/>
        </w:rPr>
      </w:pPr>
      <w:r w:rsidRPr="00F364D3">
        <w:rPr>
          <w:rFonts w:ascii="Arial" w:hAnsi="Arial" w:cs="Arial"/>
          <w:sz w:val="24"/>
          <w:szCs w:val="24"/>
        </w:rPr>
        <w:t>Art. 6º</w:t>
      </w:r>
      <w:r>
        <w:rPr>
          <w:rFonts w:ascii="Arial" w:hAnsi="Arial" w:cs="Arial"/>
          <w:sz w:val="24"/>
          <w:szCs w:val="24"/>
        </w:rPr>
        <w:t xml:space="preserve"> </w:t>
      </w:r>
      <w:r w:rsidRPr="00F364D3">
        <w:rPr>
          <w:rFonts w:ascii="Arial" w:hAnsi="Arial" w:cs="Arial"/>
          <w:sz w:val="24"/>
          <w:szCs w:val="24"/>
        </w:rPr>
        <w:t>O Poder Executivo poderá firmar convênios e parcerias com órgãos estaduais, federais, universidades, fundações e instituições privadas para viabilizar a execução do programa.</w:t>
      </w:r>
    </w:p>
    <w:p w:rsidR="00A34601" w:rsidRPr="00F364D3" w:rsidP="00A34601" w14:paraId="7A2ADD33" w14:textId="77777777">
      <w:pPr>
        <w:jc w:val="both"/>
        <w:rPr>
          <w:rFonts w:ascii="Arial" w:hAnsi="Arial" w:cs="Arial"/>
          <w:sz w:val="24"/>
          <w:szCs w:val="24"/>
        </w:rPr>
      </w:pPr>
      <w:r w:rsidRPr="00F364D3">
        <w:rPr>
          <w:rFonts w:ascii="Arial" w:hAnsi="Arial" w:cs="Arial"/>
          <w:sz w:val="24"/>
          <w:szCs w:val="24"/>
        </w:rPr>
        <w:t>Art. 7º</w:t>
      </w:r>
      <w:r>
        <w:rPr>
          <w:rFonts w:ascii="Arial" w:hAnsi="Arial" w:cs="Arial"/>
          <w:sz w:val="24"/>
          <w:szCs w:val="24"/>
        </w:rPr>
        <w:t xml:space="preserve"> </w:t>
      </w:r>
      <w:r w:rsidRPr="00F364D3">
        <w:rPr>
          <w:rFonts w:ascii="Arial" w:hAnsi="Arial" w:cs="Arial"/>
          <w:sz w:val="24"/>
          <w:szCs w:val="24"/>
        </w:rPr>
        <w:t>O Poder Executivo regulamentará a presente Lei no prazo de até 90 (noventa) dias a contar da data de sua publicação.</w:t>
      </w:r>
    </w:p>
    <w:p w:rsidR="00A34601" w:rsidP="00A34601" w14:paraId="5974EF01" w14:textId="77777777">
      <w:pPr>
        <w:jc w:val="both"/>
        <w:rPr>
          <w:rFonts w:ascii="Arial" w:hAnsi="Arial" w:cs="Arial"/>
          <w:sz w:val="24"/>
          <w:szCs w:val="24"/>
        </w:rPr>
      </w:pPr>
      <w:r w:rsidRPr="00F364D3">
        <w:rPr>
          <w:rFonts w:ascii="Arial" w:hAnsi="Arial" w:cs="Arial"/>
          <w:sz w:val="24"/>
          <w:szCs w:val="24"/>
        </w:rPr>
        <w:t>Art. 8º</w:t>
      </w:r>
      <w:r>
        <w:rPr>
          <w:rFonts w:ascii="Arial" w:hAnsi="Arial" w:cs="Arial"/>
          <w:sz w:val="24"/>
          <w:szCs w:val="24"/>
        </w:rPr>
        <w:t xml:space="preserve"> </w:t>
      </w:r>
      <w:r w:rsidRPr="00F364D3">
        <w:rPr>
          <w:rFonts w:ascii="Arial" w:hAnsi="Arial" w:cs="Arial"/>
          <w:sz w:val="24"/>
          <w:szCs w:val="24"/>
        </w:rPr>
        <w:t>Esta Lei entra em vigor na data de sua publicação.</w:t>
      </w:r>
    </w:p>
    <w:p w:rsidR="00A34601" w:rsidP="00A34601" w14:paraId="7601CE67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9° Revogam-se as disposições em contrário.</w:t>
      </w:r>
    </w:p>
    <w:p w:rsidR="00431AAD" w:rsidP="00A34601" w14:paraId="1D4A257E" w14:textId="77777777">
      <w:pPr>
        <w:jc w:val="both"/>
        <w:rPr>
          <w:rFonts w:ascii="Arial" w:hAnsi="Arial" w:cs="Arial"/>
          <w:sz w:val="24"/>
          <w:szCs w:val="24"/>
        </w:rPr>
      </w:pPr>
    </w:p>
    <w:p w:rsidR="00431AAD" w:rsidP="00431AAD" w14:paraId="21073145" w14:textId="794FA20C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0</w:t>
      </w:r>
      <w:r w:rsidR="00D515B6"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 xml:space="preserve"> de setembro de 2025.</w:t>
      </w:r>
    </w:p>
    <w:p w:rsidR="00431AAD" w:rsidP="00431AAD" w14:paraId="2BF9FA9C" w14:textId="77777777">
      <w:pPr>
        <w:ind w:firstLine="708"/>
        <w:jc w:val="right"/>
        <w:rPr>
          <w:rFonts w:ascii="Arial" w:eastAsia="Arial" w:hAnsi="Arial" w:cs="Arial"/>
          <w:b/>
          <w:sz w:val="24"/>
          <w:szCs w:val="24"/>
        </w:rPr>
      </w:pPr>
    </w:p>
    <w:p w:rsidR="00431AAD" w:rsidP="00431AAD" w14:paraId="301004A5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3017993" cy="1305078"/>
            <wp:effectExtent l="0" t="0" r="0" b="0"/>
            <wp:docPr id="190722400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517409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17993" cy="1305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1AAD" w:rsidRPr="00F364D3" w:rsidP="00A34601" w14:paraId="7F0FED15" w14:textId="77777777">
      <w:pPr>
        <w:jc w:val="both"/>
        <w:rPr>
          <w:rFonts w:ascii="Arial" w:hAnsi="Arial" w:cs="Arial"/>
          <w:sz w:val="24"/>
          <w:szCs w:val="24"/>
        </w:rPr>
      </w:pPr>
    </w:p>
    <w:p w:rsidR="00A34601" w14:paraId="1FB08D2E" w14:textId="77777777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:rsidR="007558FF" w14:paraId="6504D80A" w14:textId="2286928A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A34601" w:rsidRPr="00F364D3" w:rsidP="00A34601" w14:paraId="6556CD7A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 w:rsidRPr="00F364D3">
        <w:rPr>
          <w:rFonts w:ascii="Arial" w:hAnsi="Arial" w:cs="Arial"/>
          <w:sz w:val="24"/>
          <w:szCs w:val="24"/>
        </w:rPr>
        <w:t>O diabetes é uma das doenças crônicas de maior impacto em saúde pública, afetando de forma significativa a qualidade de vida de crianças, adolescentes e idosos. O controle contínuo da glicemia é fundamental para a prevenção de complicações graves, como insuficiência renal, amputações, cegueira e doenças cardiovasculares.</w:t>
      </w:r>
    </w:p>
    <w:p w:rsidR="00A34601" w:rsidRPr="00F364D3" w:rsidP="00A34601" w14:paraId="4E15BE86" w14:textId="7777777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F364D3">
        <w:rPr>
          <w:rFonts w:ascii="Arial" w:hAnsi="Arial" w:cs="Arial"/>
          <w:sz w:val="24"/>
          <w:szCs w:val="24"/>
        </w:rPr>
        <w:t>A utilização de sensores de monitoramento contínuo da glicose permite maior precisão no controle da doença, reduz a necessidade de punções frequentes e proporciona melhor adesão ao tratamento.</w:t>
      </w:r>
    </w:p>
    <w:p w:rsidR="00A34601" w:rsidRPr="00F364D3" w:rsidP="00A34601" w14:paraId="333B0887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364D3">
        <w:rPr>
          <w:rFonts w:ascii="Arial" w:hAnsi="Arial" w:cs="Arial"/>
          <w:sz w:val="24"/>
          <w:szCs w:val="24"/>
        </w:rPr>
        <w:t>Assim, a presente iniciativa visa garantir maior dignidade, segurança e saúde à população, contribuindo para a prevenção de complicações e redução de custos hosp</w:t>
      </w:r>
      <w:r>
        <w:rPr>
          <w:rFonts w:ascii="Arial" w:hAnsi="Arial" w:cs="Arial"/>
          <w:sz w:val="24"/>
          <w:szCs w:val="24"/>
        </w:rPr>
        <w:t>italares.</w:t>
      </w:r>
    </w:p>
    <w:p w:rsidR="007558FF" w:rsidP="00A34601" w14:paraId="34658D02" w14:textId="77777777">
      <w:pPr>
        <w:rPr>
          <w:rFonts w:ascii="Arial" w:eastAsia="Arial" w:hAnsi="Arial" w:cs="Arial"/>
          <w:sz w:val="24"/>
          <w:szCs w:val="24"/>
        </w:rPr>
      </w:pPr>
    </w:p>
    <w:p w:rsidR="007558FF" w14:paraId="36DF597F" w14:textId="1A4F9F48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431AAD">
        <w:rPr>
          <w:rFonts w:ascii="Arial" w:eastAsia="Arial" w:hAnsi="Arial" w:cs="Arial"/>
          <w:sz w:val="24"/>
          <w:szCs w:val="24"/>
        </w:rPr>
        <w:t>0</w:t>
      </w:r>
      <w:r w:rsidR="00D515B6"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 xml:space="preserve"> de</w:t>
      </w:r>
      <w:r w:rsidR="00431AAD">
        <w:rPr>
          <w:rFonts w:ascii="Arial" w:eastAsia="Arial" w:hAnsi="Arial" w:cs="Arial"/>
          <w:sz w:val="24"/>
          <w:szCs w:val="24"/>
        </w:rPr>
        <w:t xml:space="preserve"> setembro</w:t>
      </w:r>
      <w:r w:rsidR="009A40EE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 2025.</w:t>
      </w:r>
    </w:p>
    <w:p w:rsidR="00A34601" w14:paraId="1814A1CA" w14:textId="77777777">
      <w:pPr>
        <w:ind w:firstLine="708"/>
        <w:jc w:val="right"/>
        <w:rPr>
          <w:rFonts w:ascii="Arial" w:eastAsia="Arial" w:hAnsi="Arial" w:cs="Arial"/>
          <w:b/>
          <w:sz w:val="24"/>
          <w:szCs w:val="24"/>
        </w:rPr>
      </w:pPr>
    </w:p>
    <w:p w:rsidR="007558FF" w14:paraId="317939D3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3017993" cy="1305078"/>
            <wp:effectExtent l="0" t="0" r="0" b="0"/>
            <wp:docPr id="123856524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691347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17993" cy="1305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58FF" w14:paraId="12AC2195" w14:textId="77777777">
      <w:pPr>
        <w:jc w:val="center"/>
        <w:rPr>
          <w:rFonts w:ascii="Arial" w:eastAsia="Arial" w:hAnsi="Arial" w:cs="Arial"/>
          <w:sz w:val="24"/>
          <w:szCs w:val="24"/>
        </w:rPr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558FF" w14:paraId="7E07AB3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gjdgxs" w:colFirst="0" w:colLast="0"/>
  <w:bookmarkEnd w:id="0"/>
  <w:p w:rsidR="007558FF" w14:paraId="42594C82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238565244" name="Conector de Seta Reta 123856524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96663710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55118810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7558FF" w14:paraId="76D8DC75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558FF" w14:paraId="0B2EA05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558FF" w14:paraId="2430D001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123856524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99703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38565245" name="Agrupar 123856524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63169514" name="Agrupar 163169514"/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1983967579" name="Retângulo 1983967579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558FF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1254525557" name="Agrupar 1254525557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318938399" name="Retângulo 318938399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558FF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1277713685" name="Agrupar 1277713685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1299523490" name="Retângulo 1299523490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558FF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438482217" name="Agrupar 438482217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603944362" name="Retângulo 603944362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558FF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566379019" name="Forma Livre: Forma 566379019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2012680784" name="Forma Livre: Forma 2012680784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868921525" name="Forma Livre: Forma 1868921525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1238565245" o:spid="_x0000_s2049" style="width:595.1pt;height:808.7pt;margin-top:0;margin-left:-65pt;mso-wrap-distance-left:0;mso-wrap-distance-right:0;position:absolute;z-index:-251655168" coordorigin="15671,0" coordsize="75577,75600">
              <v:group id="Agrupar 163169514" o:spid="_x0000_s2050" style="width:75577;height:75600;left:15671;position:absolute" coordorigin="15671,0" coordsize="75577,75600">
                <v:rect id="Retângulo 1983967579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7558FF" w14:paraId="2F4B602A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1254525557" o:spid="_x0000_s2052" style="width:75577;height:75600;left:15671;position:absolute" coordorigin="15671,0" coordsize="75577,75600">
                  <v:rect id="Retângulo 318938399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7558FF" w14:paraId="2F8BCD86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1277713685" o:spid="_x0000_s2054" style="width:75577;height:75600;left:15671;position:absolute" coordorigin="15671,0" coordsize="75577,75600">
                    <v:rect id="Retângulo 1299523490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7558FF" w14:paraId="562F3A82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438482217" o:spid="_x0000_s2056" style="width:75577;height:75600;left:15671;position:absolute" coordsize="75577,102703">
                      <v:rect id="Retângulo 603944362" o:spid="_x0000_s2057" style="width:75577;height:102703;mso-wrap-style:square;position:absolute;visibility:visible;v-text-anchor:middle" filled="f" stroked="f">
                        <v:textbox inset="7.2pt,7.2pt,7.2pt,7.2pt">
                          <w:txbxContent>
                            <w:p w:rsidR="007558FF" w14:paraId="10A090DE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shape id="Forma Livre: Forma 566379019" o:spid="_x0000_s2058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<v:path arrowok="t" o:extrusionok="f"/>
                      </v:shape>
                      <v:shape id="Forma Livre: Forma 2012680784" o:spid="_x0000_s2059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<v:path arrowok="t" o:extrusionok="f"/>
                      </v:shape>
                      <v:shape id="Forma Livre: Forma 1868921525" o:spid="_x0000_s2060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<v:path arrowok="t" o:extrusionok="f"/>
                      </v:shape>
                    </v:group>
                  </v:group>
                </v:group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3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8FF"/>
    <w:rsid w:val="002758CB"/>
    <w:rsid w:val="003E7B9E"/>
    <w:rsid w:val="00417909"/>
    <w:rsid w:val="00431AAD"/>
    <w:rsid w:val="00492FB7"/>
    <w:rsid w:val="0054173E"/>
    <w:rsid w:val="005B3A35"/>
    <w:rsid w:val="00621D11"/>
    <w:rsid w:val="006420E1"/>
    <w:rsid w:val="0069602A"/>
    <w:rsid w:val="00713B4B"/>
    <w:rsid w:val="00723FA3"/>
    <w:rsid w:val="007558FF"/>
    <w:rsid w:val="009A40EE"/>
    <w:rsid w:val="00A34601"/>
    <w:rsid w:val="00AA2785"/>
    <w:rsid w:val="00C306D1"/>
    <w:rsid w:val="00C66303"/>
    <w:rsid w:val="00D515B6"/>
    <w:rsid w:val="00E62F3F"/>
    <w:rsid w:val="00F364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2C60A64-27BF-4AA1-B7F5-040747CA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5B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F6F4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locked/>
    <w:rsid w:val="004F6F4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4D46E8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locked/>
    <w:rsid w:val="004D46E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4D46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locked/>
    <w:rsid w:val="004D46E8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4D46E8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R6+k6NyRCfHQebhlWXx5LpVNwA==">CgMxLjAyCGguZ2pkZ3hzOAByITFfUURicnJqSGFtZm1YTU0wYzNNMmt2dVRTVDIxaHpJcQ==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540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7</cp:revision>
  <dcterms:created xsi:type="dcterms:W3CDTF">2025-02-12T17:56:00Z</dcterms:created>
  <dcterms:modified xsi:type="dcterms:W3CDTF">2025-09-08T17:33:00Z</dcterms:modified>
</cp:coreProperties>
</file>