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00DB" w14:paraId="0A0783A7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D700DB" w14:paraId="5D52623A" w14:textId="77777777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D700DB" w14:paraId="3C8F2CA1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D700DB" w14:paraId="5BAFE2FF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f102q5lv8dsq" w:colFirst="0" w:colLast="0"/>
      <w:bookmarkEnd w:id="0"/>
    </w:p>
    <w:p w:rsidR="00D700DB" w:rsidP="00671AD0" w14:paraId="05A4278F" w14:textId="282D23F8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lk190440018"/>
      <w:r w:rsidRPr="00081631">
        <w:rPr>
          <w:rFonts w:ascii="Arial" w:eastAsia="Arial" w:hAnsi="Arial" w:cs="Arial"/>
          <w:b/>
          <w:sz w:val="24"/>
          <w:szCs w:val="24"/>
        </w:rPr>
        <w:t>"</w:t>
      </w:r>
      <w:r w:rsidRPr="00B01755" w:rsidR="00B01755">
        <w:rPr>
          <w:rFonts w:ascii="Arial" w:eastAsia="Arial" w:hAnsi="Arial" w:cs="Arial"/>
          <w:b/>
          <w:sz w:val="24"/>
          <w:szCs w:val="24"/>
        </w:rPr>
        <w:t>Institui o Programa Municipal de Hidroterapia e Terapia Aquática Inclusiva para pessoas com Transtorno do Espectro Autista (TEA), Síndrome de Down, Transtorno do Déficit de Atenção e Hiperatividade (TDAH) e mobilidade física reduzida no Município de Sumaré</w:t>
      </w:r>
      <w:r w:rsidRPr="00081631">
        <w:rPr>
          <w:rFonts w:ascii="Arial" w:eastAsia="Arial" w:hAnsi="Arial" w:cs="Arial"/>
          <w:b/>
          <w:sz w:val="24"/>
          <w:szCs w:val="24"/>
        </w:rPr>
        <w:t>."</w:t>
      </w:r>
    </w:p>
    <w:p w:rsidR="00D700DB" w14:paraId="058E410A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1"/>
      <w:bookmarkEnd w:id="2"/>
      <w:r>
        <w:rPr>
          <w:rFonts w:ascii="Arial" w:eastAsia="Arial" w:hAnsi="Arial" w:cs="Arial"/>
          <w:b/>
          <w:sz w:val="24"/>
          <w:szCs w:val="24"/>
        </w:rPr>
        <w:t>Autor: César Bianchi</w:t>
      </w:r>
    </w:p>
    <w:p w:rsidR="00D700DB" w14:paraId="3D61D6E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FB6868" w14:paraId="57430E6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D700DB" w14:paraId="6D7F281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D700DB" w14:paraId="423142E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 w:rsidP="007177F2" w14:paraId="76E0AE99" w14:textId="316F6C8B">
      <w:pPr>
        <w:tabs>
          <w:tab w:val="left" w:pos="567"/>
          <w:tab w:val="left" w:pos="1134"/>
        </w:tabs>
        <w:spacing w:before="240" w:after="240" w:line="240" w:lineRule="auto"/>
        <w:jc w:val="both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 w:rsidR="00FB6868">
        <w:rPr>
          <w:rFonts w:ascii="Arial" w:eastAsia="Arial" w:hAnsi="Arial" w:cs="Arial"/>
          <w:sz w:val="24"/>
          <w:szCs w:val="24"/>
        </w:rPr>
        <w:t xml:space="preserve"> </w:t>
      </w:r>
      <w:r w:rsidR="007177F2">
        <w:rPr>
          <w:rFonts w:ascii="Arial" w:eastAsia="Arial" w:hAnsi="Arial" w:cs="Arial"/>
          <w:sz w:val="24"/>
          <w:szCs w:val="24"/>
        </w:rPr>
        <w:tab/>
      </w:r>
      <w:r w:rsidRPr="00B01755" w:rsidR="00B01755">
        <w:rPr>
          <w:rFonts w:ascii="Arial" w:eastAsia="Arial" w:hAnsi="Arial" w:cs="Arial"/>
          <w:sz w:val="24"/>
          <w:szCs w:val="24"/>
        </w:rPr>
        <w:t>Fica instituído o Programa Municipal de Hidroterapia e Terapia Aquática Inclusiva no Município de Sumaré, destinado a pessoas com Transtorno do Espectro Autista (TEA), Síndrome de Down, Transtorno do Déficit de Atenção e Hiperatividade (TDAH) e mobilidade física reduzida.</w:t>
      </w:r>
    </w:p>
    <w:p w:rsidR="00B01755" w:rsidRPr="00B01755" w:rsidP="007177F2" w14:paraId="35276108" w14:textId="767179AA">
      <w:pPr>
        <w:tabs>
          <w:tab w:val="left" w:pos="567"/>
          <w:tab w:val="left" w:pos="1134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FB6868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2º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7177F2">
        <w:rPr>
          <w:rFonts w:ascii="Arial" w:eastAsia="Arial" w:hAnsi="Arial" w:cs="Arial"/>
          <w:sz w:val="24"/>
          <w:szCs w:val="24"/>
        </w:rPr>
        <w:tab/>
      </w:r>
      <w:r w:rsidRPr="00B01755">
        <w:rPr>
          <w:rFonts w:ascii="Arial" w:eastAsia="Arial" w:hAnsi="Arial" w:cs="Arial"/>
          <w:sz w:val="24"/>
          <w:szCs w:val="24"/>
        </w:rPr>
        <w:t>O Programa tem como objetivos:</w:t>
      </w:r>
    </w:p>
    <w:p w:rsidR="00B01755" w:rsidRPr="00B01755" w:rsidP="00B01755" w14:paraId="327FD6F7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sz w:val="24"/>
          <w:szCs w:val="24"/>
        </w:rPr>
        <w:t>I - Promover o desenvolvimento físico, cognitivo, social e emocional dos beneficiários por meio de atividades aquáticas terapêuticas.</w:t>
      </w:r>
    </w:p>
    <w:p w:rsidR="00B01755" w:rsidRPr="00B01755" w:rsidP="00B01755" w14:paraId="6D66919A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sz w:val="24"/>
          <w:szCs w:val="24"/>
        </w:rPr>
        <w:t>II - Melhorar a coordenação motora, o equilíbrio, a força muscular e a flexibilidade.</w:t>
      </w:r>
    </w:p>
    <w:p w:rsidR="00B01755" w:rsidRPr="00B01755" w:rsidP="00B01755" w14:paraId="12ECB2EA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sz w:val="24"/>
          <w:szCs w:val="24"/>
        </w:rPr>
        <w:t>III - Contribuir para a redução da ansiedade, hiperatividade e comportamentos repetitivos.</w:t>
      </w:r>
    </w:p>
    <w:p w:rsidR="00B01755" w:rsidRPr="00B01755" w:rsidP="00B01755" w14:paraId="1D987920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sz w:val="24"/>
          <w:szCs w:val="24"/>
        </w:rPr>
        <w:t>IV - Fomentar a socialização e a comunicação.</w:t>
      </w:r>
    </w:p>
    <w:p w:rsidR="00B01755" w:rsidRPr="00B01755" w:rsidP="00B01755" w14:paraId="7D6B8A5A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sz w:val="24"/>
          <w:szCs w:val="24"/>
        </w:rPr>
        <w:t>V - Proporcionar um ambiente seguro e acolhedor para a reabilitação e o bem-estar.</w:t>
      </w:r>
    </w:p>
    <w:p w:rsidR="00B01755" w:rsidP="00B01755" w14:paraId="14DF23E7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sz w:val="24"/>
          <w:szCs w:val="24"/>
        </w:rPr>
        <w:t>VI - Contribuir para a autonomia e a melhoria da qualidade de vida dos participantes</w:t>
      </w:r>
      <w:r>
        <w:rPr>
          <w:rFonts w:ascii="Arial" w:eastAsia="Arial" w:hAnsi="Arial" w:cs="Arial"/>
          <w:sz w:val="24"/>
          <w:szCs w:val="24"/>
        </w:rPr>
        <w:t>.</w:t>
      </w:r>
    </w:p>
    <w:p w:rsidR="00B01755" w:rsidRPr="00B01755" w:rsidP="007177F2" w14:paraId="54E7C687" w14:textId="467B1620">
      <w:pPr>
        <w:tabs>
          <w:tab w:val="left" w:pos="142"/>
          <w:tab w:val="left" w:pos="1134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3º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7177F2">
        <w:rPr>
          <w:rFonts w:ascii="Arial" w:eastAsia="Arial" w:hAnsi="Arial" w:cs="Arial"/>
          <w:sz w:val="24"/>
          <w:szCs w:val="24"/>
        </w:rPr>
        <w:tab/>
      </w:r>
      <w:r w:rsidRPr="00B01755">
        <w:rPr>
          <w:rFonts w:ascii="Arial" w:eastAsia="Arial" w:hAnsi="Arial" w:cs="Arial"/>
          <w:sz w:val="24"/>
          <w:szCs w:val="24"/>
        </w:rPr>
        <w:t>O Programa será coordenado pela Secretaria Municipal de Saúde, em articulação com as Secretarias de Educação e de Inclusão e Desenvolvimento Social, e poderá ser implementado por meio de:</w:t>
      </w:r>
    </w:p>
    <w:p w:rsidR="00B01755" w:rsidRPr="00B01755" w:rsidP="00B01755" w14:paraId="5AB7FAF0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B01755" w:rsidRPr="00B01755" w:rsidP="00FB6868" w14:paraId="5F22B77B" w14:textId="1A9665E7">
      <w:pPr>
        <w:tabs>
          <w:tab w:val="left" w:pos="567"/>
          <w:tab w:val="left" w:pos="709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sz w:val="24"/>
          <w:szCs w:val="24"/>
        </w:rPr>
        <w:t>I - Utilização de espaços públicos que possuam infraestrutura adequada, como piscinas em centros esportivos</w:t>
      </w:r>
      <w:r w:rsidR="00FB6868">
        <w:rPr>
          <w:rFonts w:ascii="Arial" w:eastAsia="Arial" w:hAnsi="Arial" w:cs="Arial"/>
          <w:sz w:val="24"/>
          <w:szCs w:val="24"/>
        </w:rPr>
        <w:t xml:space="preserve">, convivência </w:t>
      </w:r>
      <w:r w:rsidRPr="00B01755">
        <w:rPr>
          <w:rFonts w:ascii="Arial" w:eastAsia="Arial" w:hAnsi="Arial" w:cs="Arial"/>
          <w:sz w:val="24"/>
          <w:szCs w:val="24"/>
        </w:rPr>
        <w:t>ou unidades de saúde, adaptadas para a prática da hidroterapia.</w:t>
      </w:r>
    </w:p>
    <w:p w:rsidR="00B01755" w:rsidRPr="00B01755" w:rsidP="00B01755" w14:paraId="51E5D1E8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sz w:val="24"/>
          <w:szCs w:val="24"/>
        </w:rPr>
        <w:t>II - Celebração de convênios, parcerias ou termos de colaboração com instituições privadas, clínicas especializadas, clubes ou academias que possuam piscinas e equipe profissional qualificada, visando à oferta dos serviços sem a necessidade de altos investimentos iniciais por parte do município.</w:t>
      </w:r>
    </w:p>
    <w:p w:rsidR="00B01755" w:rsidP="00B01755" w14:paraId="5918E439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sz w:val="24"/>
          <w:szCs w:val="24"/>
        </w:rPr>
        <w:t>III - Contratação de profissionais especializados em hidroterapia, fisioterapia aquática, educação física adaptada e outras áreas correlatas, com experiência no atendimento ao público-alvo do Programa.</w:t>
      </w:r>
    </w:p>
    <w:p w:rsidR="00B01755" w:rsidRPr="00FB6868" w:rsidP="001E52E7" w14:paraId="60DE2DDE" w14:textId="3377367B">
      <w:pPr>
        <w:tabs>
          <w:tab w:val="left" w:pos="567"/>
          <w:tab w:val="left" w:pos="709"/>
          <w:tab w:val="left" w:pos="851"/>
          <w:tab w:val="left" w:pos="993"/>
          <w:tab w:val="left" w:pos="1134"/>
        </w:tabs>
        <w:spacing w:before="240" w:after="240" w:line="240" w:lineRule="auto"/>
        <w:jc w:val="both"/>
        <w:rPr>
          <w:rFonts w:ascii="Arial" w:eastAsia="Arial" w:hAnsi="Arial" w:cs="Arial"/>
          <w:bCs/>
          <w:sz w:val="24"/>
          <w:szCs w:val="24"/>
        </w:rPr>
      </w:pPr>
      <w:r w:rsidRPr="00FB6868">
        <w:rPr>
          <w:rFonts w:ascii="Arial" w:eastAsia="Arial" w:hAnsi="Arial" w:cs="Arial"/>
          <w:b/>
          <w:sz w:val="24"/>
          <w:szCs w:val="24"/>
        </w:rPr>
        <w:t xml:space="preserve">Art. </w:t>
      </w:r>
      <w:r w:rsidRPr="00FB6868" w:rsidR="00FB6868">
        <w:rPr>
          <w:rFonts w:ascii="Arial" w:eastAsia="Arial" w:hAnsi="Arial" w:cs="Arial"/>
          <w:b/>
          <w:sz w:val="24"/>
          <w:szCs w:val="24"/>
        </w:rPr>
        <w:t xml:space="preserve"> </w:t>
      </w:r>
      <w:r w:rsidRPr="00FB6868" w:rsidR="00671AD0">
        <w:rPr>
          <w:rFonts w:ascii="Arial" w:eastAsia="Arial" w:hAnsi="Arial" w:cs="Arial"/>
          <w:b/>
          <w:sz w:val="24"/>
          <w:szCs w:val="24"/>
        </w:rPr>
        <w:t>4</w:t>
      </w:r>
      <w:r w:rsidRPr="00FB6868">
        <w:rPr>
          <w:rFonts w:ascii="Arial" w:eastAsia="Arial" w:hAnsi="Arial" w:cs="Arial"/>
          <w:b/>
          <w:sz w:val="24"/>
          <w:szCs w:val="24"/>
        </w:rPr>
        <w:t>º</w:t>
      </w:r>
      <w:r w:rsidR="00FB6868">
        <w:rPr>
          <w:rFonts w:ascii="Arial" w:eastAsia="Arial" w:hAnsi="Arial" w:cs="Arial"/>
          <w:bCs/>
          <w:sz w:val="24"/>
          <w:szCs w:val="24"/>
        </w:rPr>
        <w:t xml:space="preserve"> </w:t>
      </w:r>
      <w:r w:rsidRPr="00FB6868">
        <w:rPr>
          <w:rFonts w:ascii="Arial" w:eastAsia="Arial" w:hAnsi="Arial" w:cs="Arial"/>
          <w:bCs/>
          <w:sz w:val="24"/>
          <w:szCs w:val="24"/>
        </w:rPr>
        <w:t xml:space="preserve"> </w:t>
      </w:r>
      <w:r w:rsidR="007177F2">
        <w:rPr>
          <w:rFonts w:ascii="Arial" w:eastAsia="Arial" w:hAnsi="Arial" w:cs="Arial"/>
          <w:bCs/>
          <w:sz w:val="24"/>
          <w:szCs w:val="24"/>
        </w:rPr>
        <w:tab/>
      </w:r>
      <w:r w:rsidRPr="00FB6868">
        <w:rPr>
          <w:rFonts w:ascii="Arial" w:eastAsia="Arial" w:hAnsi="Arial" w:cs="Arial"/>
          <w:bCs/>
          <w:sz w:val="24"/>
          <w:szCs w:val="24"/>
        </w:rPr>
        <w:t>Para participar do Programa, os interessados deverão apresentar:</w:t>
      </w:r>
    </w:p>
    <w:p w:rsidR="00B01755" w:rsidRPr="00B01755" w:rsidP="007177F2" w14:paraId="7BB12B92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sz w:val="24"/>
          <w:szCs w:val="24"/>
        </w:rPr>
        <w:t>I - Laudo médico ou diagnóstico que comprove a condição de TEA, Síndrome de Down, TDAH ou mobilidade física reduzida.</w:t>
      </w:r>
    </w:p>
    <w:p w:rsidR="00B01755" w:rsidRPr="00B01755" w:rsidP="007177F2" w14:paraId="56E17BF8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sz w:val="24"/>
          <w:szCs w:val="24"/>
        </w:rPr>
        <w:t>II - Indicação médica para a prática da hidroterapia ou terapia aquática.</w:t>
      </w:r>
    </w:p>
    <w:p w:rsidR="00D700DB" w:rsidP="007177F2" w14:paraId="7D80960A" w14:textId="23A63545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sz w:val="24"/>
          <w:szCs w:val="24"/>
        </w:rPr>
        <w:t>III - Outros documentos</w:t>
      </w:r>
      <w:r w:rsidR="00FB6868">
        <w:rPr>
          <w:rFonts w:ascii="Arial" w:eastAsia="Arial" w:hAnsi="Arial" w:cs="Arial"/>
          <w:sz w:val="24"/>
          <w:szCs w:val="24"/>
        </w:rPr>
        <w:t xml:space="preserve"> complementares podem ser requeridos, como </w:t>
      </w:r>
      <w:r w:rsidRPr="00B01755">
        <w:rPr>
          <w:rFonts w:ascii="Arial" w:eastAsia="Arial" w:hAnsi="Arial" w:cs="Arial"/>
          <w:sz w:val="24"/>
          <w:szCs w:val="24"/>
        </w:rPr>
        <w:t>exames que comprovem aptidão para atividades aquáticas</w:t>
      </w:r>
      <w:r w:rsidR="00FB6868">
        <w:rPr>
          <w:rFonts w:ascii="Arial" w:eastAsia="Arial" w:hAnsi="Arial" w:cs="Arial"/>
          <w:sz w:val="24"/>
          <w:szCs w:val="24"/>
        </w:rPr>
        <w:t>, entre outros,</w:t>
      </w:r>
      <w:r w:rsidRPr="00B01755">
        <w:rPr>
          <w:rFonts w:ascii="Arial" w:eastAsia="Arial" w:hAnsi="Arial" w:cs="Arial"/>
          <w:sz w:val="24"/>
          <w:szCs w:val="24"/>
        </w:rPr>
        <w:t xml:space="preserve"> conforme regulamento.</w:t>
      </w:r>
    </w:p>
    <w:p w:rsidR="006F55AA" w:rsidRPr="00FB6868" w:rsidP="007177F2" w14:paraId="10C46F67" w14:textId="6C3BED37">
      <w:pPr>
        <w:tabs>
          <w:tab w:val="left" w:pos="0"/>
          <w:tab w:val="left" w:pos="142"/>
          <w:tab w:val="left" w:pos="851"/>
          <w:tab w:val="left" w:pos="993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FB6868">
        <w:rPr>
          <w:rFonts w:ascii="Arial" w:eastAsia="Arial" w:hAnsi="Arial" w:cs="Arial"/>
          <w:b/>
          <w:bCs/>
          <w:sz w:val="24"/>
          <w:szCs w:val="24"/>
        </w:rPr>
        <w:t>Art.</w:t>
      </w:r>
      <w:r w:rsidR="00FB6868">
        <w:rPr>
          <w:rFonts w:ascii="Arial" w:eastAsia="Arial" w:hAnsi="Arial" w:cs="Arial"/>
          <w:sz w:val="16"/>
          <w:szCs w:val="16"/>
        </w:rPr>
        <w:t xml:space="preserve"> </w:t>
      </w:r>
      <w:r w:rsidRPr="00FB6868">
        <w:rPr>
          <w:rFonts w:ascii="Arial" w:eastAsia="Arial" w:hAnsi="Arial" w:cs="Arial"/>
          <w:b/>
          <w:bCs/>
          <w:sz w:val="24"/>
          <w:szCs w:val="24"/>
        </w:rPr>
        <w:t>5º</w:t>
      </w:r>
      <w:r w:rsidR="00FB6868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7177F2">
        <w:rPr>
          <w:rFonts w:ascii="Arial" w:eastAsia="Arial" w:hAnsi="Arial" w:cs="Arial"/>
          <w:b/>
          <w:bCs/>
          <w:sz w:val="24"/>
          <w:szCs w:val="24"/>
        </w:rPr>
        <w:tab/>
      </w:r>
      <w:r w:rsidR="007177F2">
        <w:rPr>
          <w:rFonts w:ascii="Arial" w:eastAsia="Arial" w:hAnsi="Arial" w:cs="Arial"/>
          <w:b/>
          <w:bCs/>
          <w:sz w:val="24"/>
          <w:szCs w:val="24"/>
        </w:rPr>
        <w:tab/>
      </w:r>
      <w:r w:rsidRPr="00FB6868">
        <w:rPr>
          <w:rFonts w:ascii="Arial" w:eastAsia="Arial" w:hAnsi="Arial" w:cs="Arial"/>
          <w:sz w:val="24"/>
          <w:szCs w:val="24"/>
        </w:rPr>
        <w:t>O</w:t>
      </w:r>
      <w:r w:rsidRPr="00FB6868" w:rsidR="00FB6868">
        <w:rPr>
          <w:rFonts w:ascii="Arial" w:eastAsia="Arial" w:hAnsi="Arial" w:cs="Arial"/>
          <w:sz w:val="24"/>
          <w:szCs w:val="24"/>
        </w:rPr>
        <w:t xml:space="preserve"> </w:t>
      </w:r>
      <w:r w:rsidRPr="00FB6868">
        <w:rPr>
          <w:rFonts w:ascii="Arial" w:eastAsia="Arial" w:hAnsi="Arial" w:cs="Arial"/>
          <w:sz w:val="24"/>
          <w:szCs w:val="24"/>
        </w:rPr>
        <w:t>atendimento aos beneficiários será realizado mediante avaliação individualizada por profissional habilitado, que definirá a frequência e o tipo de atividade aquática mais adequada a cada caso.</w:t>
      </w:r>
    </w:p>
    <w:p w:rsidR="00B01755" w:rsidRPr="00B01755" w:rsidP="007177F2" w14:paraId="5126B04F" w14:textId="65014F3C">
      <w:pPr>
        <w:tabs>
          <w:tab w:val="left" w:pos="567"/>
          <w:tab w:val="left" w:pos="993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b/>
          <w:bCs/>
          <w:sz w:val="24"/>
          <w:szCs w:val="24"/>
        </w:rPr>
        <w:t xml:space="preserve">Art. </w:t>
      </w:r>
      <w:r w:rsidR="006F55AA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B01755">
        <w:rPr>
          <w:rFonts w:ascii="Arial" w:eastAsia="Arial" w:hAnsi="Arial" w:cs="Arial"/>
          <w:b/>
          <w:bCs/>
          <w:sz w:val="24"/>
          <w:szCs w:val="24"/>
        </w:rPr>
        <w:t>6</w:t>
      </w:r>
      <w:r w:rsidRPr="00B01755" w:rsidR="00FB6868">
        <w:rPr>
          <w:rFonts w:ascii="Arial" w:eastAsia="Arial" w:hAnsi="Arial" w:cs="Arial"/>
          <w:b/>
          <w:bCs/>
          <w:sz w:val="24"/>
          <w:szCs w:val="24"/>
        </w:rPr>
        <w:t>º</w:t>
      </w:r>
      <w:r w:rsidR="00FB6868">
        <w:rPr>
          <w:rFonts w:ascii="Arial" w:eastAsia="Arial" w:hAnsi="Arial" w:cs="Arial"/>
          <w:b/>
          <w:bCs/>
          <w:sz w:val="24"/>
          <w:szCs w:val="24"/>
        </w:rPr>
        <w:t xml:space="preserve">   </w:t>
      </w:r>
      <w:r w:rsidR="007177F2">
        <w:rPr>
          <w:rFonts w:ascii="Arial" w:eastAsia="Arial" w:hAnsi="Arial" w:cs="Arial"/>
          <w:b/>
          <w:bCs/>
          <w:sz w:val="24"/>
          <w:szCs w:val="24"/>
        </w:rPr>
        <w:tab/>
      </w:r>
      <w:r w:rsidRPr="00B01755" w:rsidR="00FB6868">
        <w:rPr>
          <w:rFonts w:ascii="Arial" w:eastAsia="Arial" w:hAnsi="Arial" w:cs="Arial"/>
          <w:sz w:val="24"/>
          <w:szCs w:val="24"/>
        </w:rPr>
        <w:t>O</w:t>
      </w:r>
      <w:r w:rsidRPr="00B01755">
        <w:rPr>
          <w:rFonts w:ascii="Arial" w:eastAsia="Arial" w:hAnsi="Arial" w:cs="Arial"/>
          <w:sz w:val="24"/>
          <w:szCs w:val="24"/>
        </w:rPr>
        <w:t xml:space="preserve"> Poder Executivo Municipal, por meio da Secretaria Municipal de Saúde, será responsável por:</w:t>
      </w:r>
    </w:p>
    <w:p w:rsidR="00B01755" w:rsidP="00B01755" w14:paraId="6D40AC32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sz w:val="24"/>
          <w:szCs w:val="24"/>
        </w:rPr>
        <w:t xml:space="preserve">I - Elaborar e divulgar as normas e regulamentos para o funcionamento do Programa. </w:t>
      </w:r>
    </w:p>
    <w:p w:rsidR="00B01755" w:rsidP="00B01755" w14:paraId="56C47CBD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sz w:val="24"/>
          <w:szCs w:val="24"/>
        </w:rPr>
        <w:t xml:space="preserve">II - Realizar o cadastro dos beneficiários e gerenciar as vagas disponíveis. </w:t>
      </w:r>
    </w:p>
    <w:p w:rsidR="00B01755" w:rsidP="00B01755" w14:paraId="4C7F14DE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sz w:val="24"/>
          <w:szCs w:val="24"/>
        </w:rPr>
        <w:t xml:space="preserve">III - Supervisionar e monitorar a qualidade dos serviços prestados. </w:t>
      </w:r>
    </w:p>
    <w:p w:rsidR="00B01755" w:rsidP="00B01755" w14:paraId="1EEDDD75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sz w:val="24"/>
          <w:szCs w:val="24"/>
        </w:rPr>
        <w:t>IV - Promover a capacitação contínua dos profissionais envolvidos.</w:t>
      </w:r>
    </w:p>
    <w:p w:rsidR="00B01755" w:rsidRPr="00B01755" w:rsidP="00B01755" w14:paraId="5446B631" w14:textId="42505586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sz w:val="24"/>
          <w:szCs w:val="24"/>
        </w:rPr>
        <w:t xml:space="preserve"> V - Avaliar periodicamente os resultados e o impacto do Programa na vida dos beneficiários.</w:t>
      </w:r>
    </w:p>
    <w:p w:rsidR="00B01755" w:rsidP="007177F2" w14:paraId="37C85A6E" w14:textId="7EABCABF">
      <w:pPr>
        <w:tabs>
          <w:tab w:val="left" w:pos="567"/>
          <w:tab w:val="left" w:pos="993"/>
          <w:tab w:val="left" w:pos="1134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b/>
          <w:bCs/>
          <w:sz w:val="24"/>
          <w:szCs w:val="24"/>
        </w:rPr>
        <w:t>Art.</w:t>
      </w:r>
      <w:r w:rsidR="00FB6868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B01755">
        <w:rPr>
          <w:rFonts w:ascii="Arial" w:eastAsia="Arial" w:hAnsi="Arial" w:cs="Arial"/>
          <w:b/>
          <w:bCs/>
          <w:sz w:val="24"/>
          <w:szCs w:val="24"/>
        </w:rPr>
        <w:t xml:space="preserve"> 7</w:t>
      </w:r>
      <w:r w:rsidRPr="00B01755" w:rsidR="00FB6868">
        <w:rPr>
          <w:rFonts w:ascii="Arial" w:eastAsia="Arial" w:hAnsi="Arial" w:cs="Arial"/>
          <w:b/>
          <w:bCs/>
          <w:sz w:val="24"/>
          <w:szCs w:val="24"/>
        </w:rPr>
        <w:t>º</w:t>
      </w:r>
      <w:r w:rsidR="00FB6868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7177F2">
        <w:rPr>
          <w:rFonts w:ascii="Arial" w:eastAsia="Arial" w:hAnsi="Arial" w:cs="Arial"/>
          <w:b/>
          <w:bCs/>
          <w:sz w:val="24"/>
          <w:szCs w:val="24"/>
        </w:rPr>
        <w:tab/>
      </w:r>
      <w:r w:rsidRPr="00FB6868" w:rsidR="00FB6868">
        <w:rPr>
          <w:rFonts w:ascii="Arial" w:eastAsia="Arial" w:hAnsi="Arial" w:cs="Arial"/>
          <w:sz w:val="24"/>
          <w:szCs w:val="24"/>
        </w:rPr>
        <w:t>As</w:t>
      </w:r>
      <w:r w:rsidRPr="00B01755">
        <w:rPr>
          <w:rFonts w:ascii="Arial" w:eastAsia="Arial" w:hAnsi="Arial" w:cs="Arial"/>
          <w:sz w:val="24"/>
          <w:szCs w:val="24"/>
        </w:rPr>
        <w:t xml:space="preserve"> despesas decorrentes da execução desta Lei correrão por conta de dotações orçamentárias próprias, suplementadas se necessário, e poderão ser complementadas por meio de recursos provenientes de convênios, emendas parlamentares e outras fontes de financiamento.</w:t>
      </w:r>
    </w:p>
    <w:p w:rsidR="00B01755" w:rsidRPr="00B01755" w:rsidP="007177F2" w14:paraId="116F1491" w14:textId="46BEE084">
      <w:pPr>
        <w:tabs>
          <w:tab w:val="left" w:pos="567"/>
          <w:tab w:val="left" w:pos="851"/>
          <w:tab w:val="left" w:pos="993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b/>
          <w:bCs/>
          <w:sz w:val="24"/>
          <w:szCs w:val="24"/>
        </w:rPr>
        <w:t xml:space="preserve">Art. </w:t>
      </w:r>
      <w:r w:rsidR="006F55AA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Pr="00B01755">
        <w:rPr>
          <w:rFonts w:ascii="Arial" w:eastAsia="Arial" w:hAnsi="Arial" w:cs="Arial"/>
          <w:b/>
          <w:bCs/>
          <w:sz w:val="24"/>
          <w:szCs w:val="24"/>
        </w:rPr>
        <w:t>8º</w:t>
      </w:r>
      <w:r w:rsidRPr="00B01755">
        <w:rPr>
          <w:rFonts w:ascii="Arial" w:eastAsia="Arial" w:hAnsi="Arial" w:cs="Arial"/>
          <w:sz w:val="24"/>
          <w:szCs w:val="24"/>
        </w:rPr>
        <w:t xml:space="preserve"> </w:t>
      </w:r>
      <w:r w:rsidR="007177F2">
        <w:rPr>
          <w:rFonts w:ascii="Arial" w:eastAsia="Arial" w:hAnsi="Arial" w:cs="Arial"/>
          <w:sz w:val="24"/>
          <w:szCs w:val="24"/>
        </w:rPr>
        <w:tab/>
      </w:r>
      <w:r w:rsidR="007177F2">
        <w:rPr>
          <w:rFonts w:ascii="Arial" w:eastAsia="Arial" w:hAnsi="Arial" w:cs="Arial"/>
          <w:sz w:val="24"/>
          <w:szCs w:val="24"/>
        </w:rPr>
        <w:tab/>
      </w:r>
      <w:r w:rsidRPr="00B01755">
        <w:rPr>
          <w:rFonts w:ascii="Arial" w:eastAsia="Arial" w:hAnsi="Arial" w:cs="Arial"/>
          <w:sz w:val="24"/>
          <w:szCs w:val="24"/>
        </w:rPr>
        <w:t>O Poder Executivo regulamentará esta lei no que couber no prazo máximo de 90 (noventa) dias contados da data de sua publicação.</w:t>
      </w:r>
    </w:p>
    <w:p w:rsidR="00B01755" w:rsidRPr="00B01755" w:rsidP="00B01755" w14:paraId="6D74AABB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B01755" w:rsidRPr="00B01755" w:rsidP="007177F2" w14:paraId="2FC6C0A5" w14:textId="3BC76ABE">
      <w:pPr>
        <w:tabs>
          <w:tab w:val="left" w:pos="567"/>
          <w:tab w:val="left" w:pos="851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b/>
          <w:bCs/>
          <w:sz w:val="24"/>
          <w:szCs w:val="24"/>
        </w:rPr>
        <w:t>Art. 9º</w:t>
      </w:r>
      <w:r w:rsidRPr="00B01755">
        <w:rPr>
          <w:rFonts w:ascii="Arial" w:eastAsia="Arial" w:hAnsi="Arial" w:cs="Arial"/>
          <w:sz w:val="24"/>
          <w:szCs w:val="24"/>
        </w:rPr>
        <w:t xml:space="preserve"> </w:t>
      </w:r>
      <w:r w:rsidR="007177F2">
        <w:rPr>
          <w:rFonts w:ascii="Arial" w:eastAsia="Arial" w:hAnsi="Arial" w:cs="Arial"/>
          <w:sz w:val="24"/>
          <w:szCs w:val="24"/>
        </w:rPr>
        <w:tab/>
        <w:t xml:space="preserve">  </w:t>
      </w:r>
      <w:r w:rsidRPr="00B01755">
        <w:rPr>
          <w:rFonts w:ascii="Arial" w:eastAsia="Arial" w:hAnsi="Arial" w:cs="Arial"/>
          <w:sz w:val="24"/>
          <w:szCs w:val="24"/>
        </w:rPr>
        <w:t>Esta Lei entra em vigor na data de sua publicação.</w:t>
      </w:r>
    </w:p>
    <w:p w:rsidR="00B01755" w:rsidP="00B01755" w14:paraId="3CEDFF79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 w14:paraId="4908F059" w14:textId="7D7FE49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FB6868">
        <w:rPr>
          <w:rFonts w:ascii="Arial" w:eastAsia="Arial" w:hAnsi="Arial" w:cs="Arial"/>
          <w:sz w:val="24"/>
          <w:szCs w:val="24"/>
        </w:rPr>
        <w:t>01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FB6868">
        <w:rPr>
          <w:rFonts w:ascii="Arial" w:eastAsia="Arial" w:hAnsi="Arial" w:cs="Arial"/>
          <w:sz w:val="24"/>
          <w:szCs w:val="24"/>
        </w:rPr>
        <w:t xml:space="preserve">Setembro </w:t>
      </w:r>
      <w:r>
        <w:rPr>
          <w:rFonts w:ascii="Arial" w:eastAsia="Arial" w:hAnsi="Arial" w:cs="Arial"/>
          <w:sz w:val="24"/>
          <w:szCs w:val="24"/>
        </w:rPr>
        <w:t>de 2025</w:t>
      </w:r>
    </w:p>
    <w:p w:rsidR="00D700DB" w14:paraId="76F963C4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14:paraId="58754373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A4474E" w:rsidP="00A4474E" w14:paraId="25A96653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</w:p>
    <w:p w:rsidR="00A4474E" w:rsidP="00A4474E" w14:paraId="6EC745EE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58531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 w14:paraId="6DD2BC1C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 w14:paraId="488779B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A4474E" w:rsidP="00A4474E" w14:paraId="1055C2A5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A4474E" w:rsidP="00A4474E" w14:paraId="4518E0E6" w14:textId="77777777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 w14:paraId="6678B0CB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6052B1F6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1B10499C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0E63FD86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35FBB16F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19B573D6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13901F86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3B5185B1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4AFB4478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265F8E01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7AD84400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35D4EBD1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4F6F1EF9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3B813C49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60231D3B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37AC04E9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411C5B2C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4547496A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3452D063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7593787E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67E4D0B5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183AF95E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4628A2AA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1E4D1C74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79C95C6C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32D70A8B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B01755" w14:paraId="177CFAC6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14:paraId="78FC18F3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246E93" w:rsidP="00B01755" w14:paraId="7A560A33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B01755" w:rsidRPr="00B01755" w:rsidP="00B01755" w14:paraId="71E4CF19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sz w:val="24"/>
          <w:szCs w:val="24"/>
        </w:rPr>
        <w:t>A hidroterapia e a terapia aquática são reconhecidas mundialmente como abordagens terapêuticas eficazes que promovem o desenvolvimento físico, cognitivo, social e emocional. A água, por suas propriedades físicas como flutuabilidade, resistência e pressão hidrostática, oferece um ambiente único que facilita o movimento, alivia a dor, melhora o equilíbrio, a coordenação motora e a propriocepção.</w:t>
      </w:r>
    </w:p>
    <w:p w:rsidR="00B01755" w:rsidRPr="00B01755" w:rsidP="00B01755" w14:paraId="71E9E937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B01755" w:rsidRPr="00B01755" w:rsidP="00B01755" w14:paraId="35A4DBFE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sz w:val="24"/>
          <w:szCs w:val="24"/>
        </w:rPr>
        <w:t>Para crianças com Transtorno do Espectro Autista (TEA), a terapia aquática proporciona um ambiente sensorial regulado, auxiliando na redução de comportamentos repetitivos, no aumento da interação social e na melhoria da comunicação. Para pessoas com Síndrome de Down, a flutuabilidade da água permite a execução de movimentos com menor impacto nas articulações, fortalecendo a musculatura e aprimorando a coordenação, além de promover a independência.</w:t>
      </w:r>
    </w:p>
    <w:p w:rsidR="00B01755" w:rsidRPr="00B01755" w:rsidP="00B01755" w14:paraId="1098603D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B01755" w:rsidRPr="00B01755" w:rsidP="00B01755" w14:paraId="40B0CA25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sz w:val="24"/>
          <w:szCs w:val="24"/>
        </w:rPr>
        <w:t>No caso de crianças com Transtorno do Déficit de Atenção e Hiperatividade (TDAH), a água oferece um espaço para liberar energia de forma controlada, melhorar o foco, a atenção e a organização, além de reduzir a ansiedade e a impulsividade. Já para as pessoas com mobilidade física reduzida, a terapia aquática possibilita a realização de exercícios que seriam difíceis ou impossíveis em terra firme, auxiliando na reabilitação, no fortalecimento muscular, na flexibilidade e na melhoria da qualidade de vida, muitas vezes reduzindo a dor e aumentando a autonomia.</w:t>
      </w:r>
    </w:p>
    <w:p w:rsidR="00B01755" w:rsidRPr="00B01755" w:rsidP="00B01755" w14:paraId="5947B9F1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5237DB" w:rsidRPr="005237DB" w:rsidP="00B01755" w14:paraId="10EE1E5D" w14:textId="2FB53DD9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B01755">
        <w:rPr>
          <w:rFonts w:ascii="Arial" w:eastAsia="Arial" w:hAnsi="Arial" w:cs="Arial"/>
          <w:sz w:val="24"/>
          <w:szCs w:val="24"/>
        </w:rPr>
        <w:t>Instituir o Programa Municipal de Hidroterapia e Terapia Aquática Inclusiva em Sumaré representa um avanço significativo nas políticas públicas de saúde e inclusão. Ao oferecer acesso a essa modalidade terapêutica, o município não apenas complementa os tratamentos já existentes, mas também proporciona uma ferramenta valiosa para o desenvolvimento integral e a melhoria da qualidade de vida de uma parcela significativa de sua população, promovendo mais saúde, bem-estar e inclusão social para todos.</w:t>
      </w:r>
    </w:p>
    <w:p w:rsidR="00D700DB" w14:paraId="1A0F885D" w14:textId="77777777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</w:p>
    <w:p w:rsidR="00D700DB" w14:paraId="60EF2290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14:paraId="510DD2CA" w14:textId="2F5322FA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FB6868">
        <w:rPr>
          <w:rFonts w:ascii="Arial" w:eastAsia="Arial" w:hAnsi="Arial" w:cs="Arial"/>
          <w:sz w:val="24"/>
          <w:szCs w:val="24"/>
        </w:rPr>
        <w:t>01 de setembro</w:t>
      </w:r>
      <w:r>
        <w:rPr>
          <w:rFonts w:ascii="Arial" w:eastAsia="Arial" w:hAnsi="Arial" w:cs="Arial"/>
          <w:sz w:val="24"/>
          <w:szCs w:val="24"/>
        </w:rPr>
        <w:t xml:space="preserve"> de 2025</w:t>
      </w:r>
    </w:p>
    <w:p w:rsidR="00A4474E" w:rsidP="00A4474E" w14:paraId="504A1927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98171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 w14:paraId="45B3DDEF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 w14:paraId="205601D4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A4474E" w:rsidP="00A4474E" w14:paraId="1E90D9FD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A4474E" w14:paraId="5AAD043E" w14:textId="77777777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726FB77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3znysh7" w:colFirst="0" w:colLast="0"/>
  <w:bookmarkEnd w:id="3"/>
  <w:p w:rsidR="00D700DB" w14:paraId="6073C11C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527961940" name="Conector de Seta Reta 15279619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84020245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7871250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700DB" w14:paraId="53C44A81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224FDC5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406188F9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5411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41" name="Agrupar 15279619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00D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0D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700D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00DB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D700DB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2" name="Retângulo 12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D700DB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3" name="Forma Livre: Forma 13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Forma Livre: Forma 14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Forma Livre: Forma 15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41" o:spid="_x0000_s2049" style="width:595.1pt;height:808.7pt;margin-top:0;margin-left:-63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D700DB" w14:paraId="02D649E6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D700DB" w14:paraId="5F3B85A6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D700DB" w14:paraId="07BBE92A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origin="15671,0" coordsize="75577,75600">
                      <v:rect id="Retângulo 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D700DB" w14:paraId="6563CB36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" o:spid="_x0000_s2058" style="width:75577;height:75600;left:15671;position:absolute" coordorigin="15671,0" coordsize="75577,75600">
                        <v:rect id="Retângulo 10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D700DB" w14:paraId="4D656B65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" o:spid="_x0000_s2060" style="width:75577;height:75600;left:15671;position:absolute" coordsize="75577,102703">
                          <v:rect id="Retângulo 12" o:spid="_x0000_s2061" style="width:75577;height:102703;mso-wrap-style:square;position:absolute;visibility:visible;v-text-anchor:middle" filled="f" stroked="f">
                            <v:textbox inset="7.2pt,7.2pt,7.2pt,7.2pt">
                              <w:txbxContent>
                                <w:p w:rsidR="00D700DB" w14:paraId="17C0A625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shape id="Forma Livre: Forma 13" o:spid="_x0000_s206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<v:path arrowok="t" o:extrusionok="f"/>
                          </v:shape>
                          <v:shape id="Forma Livre: Forma 14" o:spid="_x0000_s206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<v:path arrowok="t" o:extrusionok="f"/>
                          </v:shape>
                          <v:shape id="Forma Livre: Forma 15" o:spid="_x0000_s206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<v:path arrowok="t" o:extrusionok="f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3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4EF24B6"/>
    <w:multiLevelType w:val="hybridMultilevel"/>
    <w:tmpl w:val="2F70588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E44DEC"/>
    <w:multiLevelType w:val="hybridMultilevel"/>
    <w:tmpl w:val="2BAE0760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C10DD9"/>
    <w:multiLevelType w:val="hybridMultilevel"/>
    <w:tmpl w:val="D376D744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0DB"/>
    <w:rsid w:val="000218B7"/>
    <w:rsid w:val="00081631"/>
    <w:rsid w:val="00090707"/>
    <w:rsid w:val="000E2B57"/>
    <w:rsid w:val="000F2A98"/>
    <w:rsid w:val="001731A3"/>
    <w:rsid w:val="001E52E7"/>
    <w:rsid w:val="00246E93"/>
    <w:rsid w:val="003E0B1E"/>
    <w:rsid w:val="004023DD"/>
    <w:rsid w:val="004A1900"/>
    <w:rsid w:val="00520110"/>
    <w:rsid w:val="005237DB"/>
    <w:rsid w:val="005832BE"/>
    <w:rsid w:val="005E0DBD"/>
    <w:rsid w:val="00671AD0"/>
    <w:rsid w:val="00685E7C"/>
    <w:rsid w:val="006E7FF2"/>
    <w:rsid w:val="006F55AA"/>
    <w:rsid w:val="007177F2"/>
    <w:rsid w:val="00771915"/>
    <w:rsid w:val="00774976"/>
    <w:rsid w:val="008070C3"/>
    <w:rsid w:val="009521AB"/>
    <w:rsid w:val="009C09CC"/>
    <w:rsid w:val="00A4474E"/>
    <w:rsid w:val="00B01755"/>
    <w:rsid w:val="00B03659"/>
    <w:rsid w:val="00B463BE"/>
    <w:rsid w:val="00B96E43"/>
    <w:rsid w:val="00B979CB"/>
    <w:rsid w:val="00BB1064"/>
    <w:rsid w:val="00D06B7E"/>
    <w:rsid w:val="00D700DB"/>
    <w:rsid w:val="00E638B0"/>
    <w:rsid w:val="00E65655"/>
    <w:rsid w:val="00E711BE"/>
    <w:rsid w:val="00F03839"/>
    <w:rsid w:val="00F667F1"/>
    <w:rsid w:val="00FB68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425F0A3-5944-4E2E-A47C-F315ABF7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2Jt0d9pQOhiEwui37KtrgsrXCQ==">CgMxLjAyDmguZjEwMnE1bHY4ZHNxMghoLmdqZGd4czIOaC5udmxzOXJpOG94MDQyDmguajgyOXNlMjhjdTA5MgloLjN6bnlzaDc4AHIhMTRsMWo4UDFKYVhkblFTWENidlYwSG1nWUJycUs2R05s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928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6</cp:revision>
  <cp:lastPrinted>2025-02-24T13:11:00Z</cp:lastPrinted>
  <dcterms:created xsi:type="dcterms:W3CDTF">2025-07-28T15:59:00Z</dcterms:created>
  <dcterms:modified xsi:type="dcterms:W3CDTF">2025-09-01T14:27:00Z</dcterms:modified>
</cp:coreProperties>
</file>