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212" w:rsidRPr="0042148E" w:rsidP="00345212" w14:paraId="2087E354" w14:textId="77131C4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permStart w:id="1" w:edGrp="everyone"/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PROJETO DE LEI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N°</w:t>
      </w:r>
      <w:r w:rsidRPr="0042148E" w:rsidR="00EC0DF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_______ </w:t>
      </w:r>
      <w:r w:rsidRPr="0042148E" w:rsidR="007C55D9">
        <w:rPr>
          <w:rFonts w:ascii="Arial" w:eastAsia="Times New Roman" w:hAnsi="Arial" w:cs="Arial"/>
          <w:b/>
          <w:bCs/>
          <w:sz w:val="24"/>
          <w:szCs w:val="24"/>
        </w:rPr>
        <w:t xml:space="preserve">de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___</w:t>
      </w:r>
      <w:r w:rsidRPr="0042148E" w:rsidR="00E57AD3">
        <w:rPr>
          <w:rFonts w:ascii="Arial" w:eastAsia="Times New Roman" w:hAnsi="Arial" w:cs="Arial"/>
          <w:b/>
          <w:bCs/>
          <w:sz w:val="24"/>
          <w:szCs w:val="24"/>
        </w:rPr>
        <w:t>__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826E51">
        <w:rPr>
          <w:rFonts w:ascii="Arial" w:eastAsia="Times New Roman" w:hAnsi="Arial" w:cs="Arial"/>
          <w:b/>
          <w:bCs/>
          <w:sz w:val="24"/>
          <w:szCs w:val="24"/>
        </w:rPr>
        <w:t>de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5</w:t>
      </w:r>
    </w:p>
    <w:p w:rsidR="00345212" w:rsidRPr="0042148E" w:rsidP="00345212" w14:paraId="1828C45E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EC0DF9" w:rsidRPr="00341C12" w:rsidP="0065558A" w14:paraId="121C5053" w14:textId="38B89360">
      <w:pPr>
        <w:spacing w:after="120" w:line="240" w:lineRule="auto"/>
        <w:ind w:left="4395" w:right="37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</w:rPr>
        <w:t>“</w:t>
      </w:r>
      <w:r w:rsidRPr="00341C12" w:rsidR="00026D2B">
        <w:rPr>
          <w:rFonts w:ascii="Arial" w:eastAsia="Times New Roman" w:hAnsi="Arial" w:cs="Arial"/>
        </w:rPr>
        <w:t>Dispõe sobre medidas de proteção ao idoso</w:t>
      </w:r>
      <w:r w:rsidRPr="00341C12" w:rsidR="00014F52">
        <w:rPr>
          <w:rFonts w:ascii="Arial" w:eastAsia="Times New Roman" w:hAnsi="Arial" w:cs="Arial"/>
        </w:rPr>
        <w:t xml:space="preserve"> e demais vulneráveis</w:t>
      </w:r>
      <w:r w:rsidRPr="00341C12" w:rsidR="00026D2B">
        <w:rPr>
          <w:rFonts w:ascii="Arial" w:eastAsia="Times New Roman" w:hAnsi="Arial" w:cs="Arial"/>
        </w:rPr>
        <w:t xml:space="preserve"> contra </w:t>
      </w:r>
      <w:r w:rsidRPr="00341C12" w:rsidR="004571DE">
        <w:rPr>
          <w:rFonts w:ascii="Arial" w:eastAsia="Times New Roman" w:hAnsi="Arial" w:cs="Arial"/>
        </w:rPr>
        <w:t xml:space="preserve">fraudes ou demais </w:t>
      </w:r>
      <w:r w:rsidRPr="00341C12" w:rsidR="00026D2B">
        <w:rPr>
          <w:rFonts w:ascii="Arial" w:eastAsia="Times New Roman" w:hAnsi="Arial" w:cs="Arial"/>
        </w:rPr>
        <w:t>uso</w:t>
      </w:r>
      <w:r w:rsidRPr="00341C12" w:rsidR="004571DE">
        <w:rPr>
          <w:rFonts w:ascii="Arial" w:eastAsia="Times New Roman" w:hAnsi="Arial" w:cs="Arial"/>
        </w:rPr>
        <w:t>s</w:t>
      </w:r>
      <w:r w:rsidRPr="00341C12" w:rsidR="00026D2B">
        <w:rPr>
          <w:rFonts w:ascii="Arial" w:eastAsia="Times New Roman" w:hAnsi="Arial" w:cs="Arial"/>
        </w:rPr>
        <w:t xml:space="preserve"> indevido</w:t>
      </w:r>
      <w:r w:rsidRPr="00341C12" w:rsidR="004571DE">
        <w:rPr>
          <w:rFonts w:ascii="Arial" w:eastAsia="Times New Roman" w:hAnsi="Arial" w:cs="Arial"/>
        </w:rPr>
        <w:t>s</w:t>
      </w:r>
      <w:r w:rsidRPr="00341C12" w:rsidR="00026D2B">
        <w:rPr>
          <w:rFonts w:ascii="Arial" w:eastAsia="Times New Roman" w:hAnsi="Arial" w:cs="Arial"/>
        </w:rPr>
        <w:t xml:space="preserve"> de cartões bancários em estabelecimentos comerciais no Município de </w:t>
      </w:r>
      <w:r w:rsidRPr="00341C12" w:rsidR="000E3E1B">
        <w:rPr>
          <w:rFonts w:ascii="Arial" w:eastAsia="Times New Roman" w:hAnsi="Arial" w:cs="Arial"/>
        </w:rPr>
        <w:t>Sumaré</w:t>
      </w:r>
      <w:r w:rsidRPr="00341C12" w:rsidR="00026D2B">
        <w:rPr>
          <w:rFonts w:ascii="Arial" w:eastAsia="Times New Roman" w:hAnsi="Arial" w:cs="Arial"/>
        </w:rPr>
        <w:t xml:space="preserve"> e dá outras</w:t>
      </w:r>
      <w:r w:rsidRPr="00341C12" w:rsidR="006F2C7A">
        <w:rPr>
          <w:rFonts w:ascii="Arial" w:eastAsia="Times New Roman" w:hAnsi="Arial" w:cs="Arial"/>
        </w:rPr>
        <w:t xml:space="preserve"> </w:t>
      </w:r>
      <w:r w:rsidRPr="00341C12" w:rsidR="00026D2B">
        <w:rPr>
          <w:rFonts w:ascii="Arial" w:eastAsia="Times New Roman" w:hAnsi="Arial" w:cs="Arial"/>
        </w:rPr>
        <w:t>providência</w:t>
      </w:r>
      <w:r w:rsidRPr="00341C12" w:rsidR="00E46F46">
        <w:rPr>
          <w:rFonts w:ascii="Arial" w:eastAsia="Times New Roman" w:hAnsi="Arial" w:cs="Arial"/>
        </w:rPr>
        <w:t>s</w:t>
      </w:r>
      <w:r w:rsidRPr="00341C12" w:rsidR="006F2C7A">
        <w:rPr>
          <w:rFonts w:ascii="Arial" w:eastAsia="Times New Roman" w:hAnsi="Arial" w:cs="Arial"/>
        </w:rPr>
        <w:t>.</w:t>
      </w:r>
      <w:r w:rsidRPr="00341C12">
        <w:rPr>
          <w:rFonts w:ascii="Arial" w:eastAsia="Times New Roman" w:hAnsi="Arial" w:cs="Arial"/>
        </w:rPr>
        <w:t>”</w:t>
      </w:r>
    </w:p>
    <w:p w:rsidR="00345212" w:rsidRPr="00341C12" w:rsidP="00345212" w14:paraId="3A323762" w14:textId="6F92EF9D">
      <w:pPr>
        <w:spacing w:after="120" w:line="240" w:lineRule="auto"/>
        <w:ind w:left="3540" w:right="37"/>
        <w:jc w:val="right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  <w:b/>
          <w:bCs/>
        </w:rPr>
        <w:t xml:space="preserve">Autor: Vereador </w:t>
      </w:r>
      <w:r w:rsidRPr="00341C12" w:rsidR="00F12AAD">
        <w:rPr>
          <w:rFonts w:ascii="Arial" w:eastAsia="Times New Roman" w:hAnsi="Arial" w:cs="Arial"/>
          <w:b/>
          <w:bCs/>
        </w:rPr>
        <w:t>GERALDO MEDEIROS</w:t>
      </w:r>
    </w:p>
    <w:p w:rsidR="00345212" w:rsidRPr="00341C12" w:rsidP="00345212" w14:paraId="338389D6" w14:textId="77777777">
      <w:pPr>
        <w:spacing w:after="120" w:line="240" w:lineRule="auto"/>
        <w:jc w:val="right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</w:rPr>
        <w:t> </w:t>
      </w:r>
      <w:r w:rsidRPr="00341C12">
        <w:rPr>
          <w:rFonts w:ascii="Arial" w:eastAsia="Times New Roman" w:hAnsi="Arial" w:cs="Arial"/>
        </w:rPr>
        <w:tab/>
        <w:t> </w:t>
      </w:r>
    </w:p>
    <w:p w:rsidR="00345212" w:rsidRPr="00341C12" w:rsidP="00345212" w14:paraId="584BAB69" w14:textId="77777777">
      <w:pPr>
        <w:spacing w:after="0" w:line="240" w:lineRule="auto"/>
        <w:rPr>
          <w:rFonts w:ascii="Arial" w:eastAsia="Times New Roman" w:hAnsi="Arial" w:cs="Arial"/>
        </w:rPr>
      </w:pPr>
    </w:p>
    <w:p w:rsidR="00345212" w:rsidRPr="00341C12" w:rsidP="00345212" w14:paraId="69FBBEB9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  <w:b/>
          <w:bCs/>
        </w:rPr>
        <w:t>O PREFEITO DO MUNICÍPIO DE SUMARÉ </w:t>
      </w:r>
    </w:p>
    <w:p w:rsidR="00345212" w:rsidRPr="00341C12" w:rsidP="00345212" w14:paraId="79D0A867" w14:textId="77777777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  <w:b/>
          <w:bCs/>
        </w:rPr>
        <w:t>  </w:t>
      </w:r>
    </w:p>
    <w:p w:rsidR="00A244CC" w:rsidRPr="00341C12" w:rsidP="00341C12" w14:paraId="2E5CE2F5" w14:textId="77777777">
      <w:pPr>
        <w:spacing w:before="240" w:after="240" w:line="240" w:lineRule="auto"/>
        <w:ind w:right="43" w:firstLine="1701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</w:rPr>
        <w:t>Faço saber que a Câmara Municipal de Sumaré aprovou e eu sanciono a seguinte lei:</w:t>
      </w:r>
    </w:p>
    <w:p w:rsidR="00777FC4" w:rsidRPr="00341C12" w:rsidP="00341C12" w14:paraId="0AE1156E" w14:textId="1A3FD460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eastAsia="Times New Roman" w:hAnsi="Arial" w:cs="Arial"/>
          <w:b/>
          <w:bCs/>
        </w:rPr>
        <w:t>Art.</w:t>
      </w:r>
      <w:r w:rsidRPr="00341C12" w:rsidR="00A462F5">
        <w:rPr>
          <w:rFonts w:ascii="Arial" w:eastAsia="Times New Roman" w:hAnsi="Arial" w:cs="Arial"/>
          <w:b/>
          <w:bCs/>
        </w:rPr>
        <w:t xml:space="preserve"> </w:t>
      </w:r>
      <w:r w:rsidRPr="00341C12">
        <w:rPr>
          <w:rFonts w:ascii="Arial" w:eastAsia="Times New Roman" w:hAnsi="Arial" w:cs="Arial"/>
          <w:b/>
          <w:bCs/>
        </w:rPr>
        <w:t>1º</w:t>
      </w:r>
      <w:r w:rsidRPr="00341C12" w:rsidR="00DC670A">
        <w:rPr>
          <w:rFonts w:ascii="Arial" w:eastAsia="Times New Roman" w:hAnsi="Arial" w:cs="Arial"/>
          <w:b/>
          <w:bCs/>
        </w:rPr>
        <w:t>.</w:t>
      </w:r>
      <w:r w:rsidRPr="00341C12">
        <w:rPr>
          <w:rFonts w:ascii="Arial" w:eastAsia="Times New Roman" w:hAnsi="Arial" w:cs="Arial"/>
          <w:b/>
          <w:bCs/>
        </w:rPr>
        <w:t xml:space="preserve"> </w:t>
      </w:r>
      <w:r w:rsidRPr="00341C12">
        <w:rPr>
          <w:rFonts w:ascii="Arial" w:hAnsi="Arial" w:cs="Arial"/>
        </w:rPr>
        <w:t xml:space="preserve">Esta Lei estabelece medidas de segurança e prevenção </w:t>
      </w:r>
      <w:r w:rsidRPr="00341C12" w:rsidR="003F64F9">
        <w:rPr>
          <w:rFonts w:ascii="Arial" w:hAnsi="Arial" w:cs="Arial"/>
        </w:rPr>
        <w:t>contra</w:t>
      </w:r>
      <w:r w:rsidRPr="00341C12">
        <w:rPr>
          <w:rFonts w:ascii="Arial" w:hAnsi="Arial" w:cs="Arial"/>
        </w:rPr>
        <w:t xml:space="preserve"> fraudes</w:t>
      </w:r>
      <w:r w:rsidRPr="00341C12" w:rsidR="00E37AC5">
        <w:rPr>
          <w:rFonts w:ascii="Arial" w:hAnsi="Arial" w:cs="Arial"/>
        </w:rPr>
        <w:t xml:space="preserve">, com especial </w:t>
      </w:r>
      <w:r w:rsidRPr="00341C12" w:rsidR="003F64F9">
        <w:rPr>
          <w:rFonts w:ascii="Arial" w:hAnsi="Arial" w:cs="Arial"/>
        </w:rPr>
        <w:t>atenção às</w:t>
      </w:r>
      <w:r w:rsidRPr="00341C12">
        <w:rPr>
          <w:rFonts w:ascii="Arial" w:hAnsi="Arial" w:cs="Arial"/>
        </w:rPr>
        <w:t xml:space="preserve"> pessoas idosas</w:t>
      </w:r>
      <w:r w:rsidRPr="00341C12" w:rsidR="003F64F9">
        <w:rPr>
          <w:rFonts w:ascii="Arial" w:hAnsi="Arial" w:cs="Arial"/>
        </w:rPr>
        <w:t xml:space="preserve"> e</w:t>
      </w:r>
      <w:r w:rsidRPr="00341C12">
        <w:rPr>
          <w:rFonts w:ascii="Arial" w:hAnsi="Arial" w:cs="Arial"/>
        </w:rPr>
        <w:t xml:space="preserve"> foco no uso indevido de cartões bancários em estabelecimentos comerciais</w:t>
      </w:r>
      <w:r w:rsidRPr="00341C12" w:rsidR="003F64F9">
        <w:rPr>
          <w:rFonts w:ascii="Arial" w:hAnsi="Arial" w:cs="Arial"/>
        </w:rPr>
        <w:t>.</w:t>
      </w:r>
    </w:p>
    <w:p w:rsidR="00777FC4" w:rsidRPr="00341C12" w:rsidP="00341C12" w14:paraId="6EE22446" w14:textId="559C1CCE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  <w:b/>
          <w:bCs/>
        </w:rPr>
        <w:t xml:space="preserve">Art. </w:t>
      </w:r>
      <w:r w:rsidRPr="00341C12" w:rsidR="00A42A09">
        <w:rPr>
          <w:rFonts w:ascii="Arial" w:eastAsia="Times New Roman" w:hAnsi="Arial" w:cs="Arial"/>
          <w:b/>
          <w:bCs/>
        </w:rPr>
        <w:t>2</w:t>
      </w:r>
      <w:r w:rsidRPr="00341C12">
        <w:rPr>
          <w:rFonts w:ascii="Arial" w:eastAsia="Times New Roman" w:hAnsi="Arial" w:cs="Arial"/>
          <w:b/>
          <w:bCs/>
        </w:rPr>
        <w:t>º.</w:t>
      </w:r>
      <w:r w:rsidRPr="00341C12">
        <w:rPr>
          <w:rFonts w:ascii="Arial" w:eastAsia="Times New Roman" w:hAnsi="Arial" w:cs="Arial"/>
        </w:rPr>
        <w:t xml:space="preserve"> </w:t>
      </w:r>
      <w:r w:rsidRPr="00341C12">
        <w:rPr>
          <w:rFonts w:ascii="Arial" w:eastAsia="Times New Roman" w:hAnsi="Arial" w:cs="Arial"/>
        </w:rPr>
        <w:t>Ficam os estabelecimentos comerciais situados no Município de Sumaré obrigados a adotar as seguintes medidas de proteção:</w:t>
      </w:r>
    </w:p>
    <w:p w:rsidR="00777FC4" w:rsidRPr="00341C12" w:rsidP="00341C12" w14:paraId="770E347B" w14:textId="74F6479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</w:rPr>
        <w:t>I – Nos casos em que o cartão utilizado não for de titularidade da pessoa que estiver realizando a compra, exigir a apresentação de documento oficial com foto (RG, CNH, passaporte) e verificar se o nome do portador corresponde ao nome impresso no cartão;</w:t>
      </w:r>
    </w:p>
    <w:p w:rsidR="00777FC4" w:rsidRPr="00341C12" w:rsidP="00341C12" w14:paraId="62FCDA43" w14:textId="27253284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</w:rPr>
        <w:t>II – Recusar, de forma respeitosa, a finalização da transação caso haja indícios de uso indevido do cartão, inconsistência de dados ou recusa em apresentar a documentação solicitada;</w:t>
      </w:r>
    </w:p>
    <w:p w:rsidR="00777FC4" w:rsidRPr="00341C12" w:rsidP="00341C12" w14:paraId="214ABC17" w14:textId="2B66221E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III</w:t>
      </w:r>
      <w:r w:rsidRPr="00341C12">
        <w:rPr>
          <w:rFonts w:ascii="Arial" w:eastAsia="Times New Roman" w:hAnsi="Arial" w:cs="Arial"/>
        </w:rPr>
        <w:t xml:space="preserve"> – Manter em local visível, nos caixas e pontos de pagamento, cartaz com os dizeres: "A proteção do idoso é dever de todos. Uso indevido de cartão de terceiros é crime. Exigimos documento de identidade para segurança de nossos clientes."</w:t>
      </w:r>
      <w:r w:rsidRPr="00341C12" w:rsidR="00341C12">
        <w:rPr>
          <w:rFonts w:ascii="Arial" w:eastAsia="Times New Roman" w:hAnsi="Arial" w:cs="Arial"/>
        </w:rPr>
        <w:t>;</w:t>
      </w:r>
    </w:p>
    <w:p w:rsidR="00777FC4" w:rsidP="00341C12" w14:paraId="7F537C6A" w14:textId="083791FF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</w:t>
      </w:r>
      <w:r w:rsidRPr="00341C12">
        <w:rPr>
          <w:rFonts w:ascii="Arial" w:eastAsia="Times New Roman" w:hAnsi="Arial" w:cs="Arial"/>
        </w:rPr>
        <w:t>V – Capacitar os colaboradores para identificar sinais de fraude, abordagem suspeita de terceiros e orientar os idosos, com base nos princípios da dignidade, respeito e proteção legal</w:t>
      </w:r>
      <w:r w:rsidR="001C6870">
        <w:rPr>
          <w:rFonts w:ascii="Arial" w:eastAsia="Times New Roman" w:hAnsi="Arial" w:cs="Arial"/>
        </w:rPr>
        <w:t>;</w:t>
      </w:r>
    </w:p>
    <w:p w:rsidR="001C6870" w:rsidRPr="00341C12" w:rsidP="00341C12" w14:paraId="77EC77CD" w14:textId="56E8A6D9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1C6870">
        <w:rPr>
          <w:rFonts w:ascii="Arial" w:eastAsia="Times New Roman" w:hAnsi="Arial" w:cs="Arial"/>
        </w:rPr>
        <w:t>V - Proceder imediatamente ao ressarcimento integral do valor da transação em caso de uso indevido de cartão de terceiros, independentemente das sanções administrativas previstas no art. 4º.</w:t>
      </w:r>
    </w:p>
    <w:p w:rsidR="007032FD" w:rsidRPr="00341C12" w:rsidP="00341C12" w14:paraId="69A7C26C" w14:textId="77777777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eastAsia="Times New Roman" w:hAnsi="Arial" w:cs="Arial"/>
          <w:b/>
          <w:bCs/>
        </w:rPr>
        <w:t xml:space="preserve">Art. </w:t>
      </w:r>
      <w:r w:rsidRPr="00341C12" w:rsidR="00A42A09">
        <w:rPr>
          <w:rFonts w:ascii="Arial" w:eastAsia="Times New Roman" w:hAnsi="Arial" w:cs="Arial"/>
          <w:b/>
          <w:bCs/>
        </w:rPr>
        <w:t>3</w:t>
      </w:r>
      <w:r w:rsidRPr="00341C12">
        <w:rPr>
          <w:rFonts w:ascii="Arial" w:eastAsia="Times New Roman" w:hAnsi="Arial" w:cs="Arial"/>
          <w:b/>
          <w:bCs/>
        </w:rPr>
        <w:t xml:space="preserve">º. </w:t>
      </w:r>
      <w:r w:rsidRPr="00341C12">
        <w:rPr>
          <w:rFonts w:ascii="Arial" w:hAnsi="Arial" w:cs="Arial"/>
        </w:rPr>
        <w:t>O Poder Executivo poderá firmar parcerias com instituições financeiras, entidades de defesa do consumidor, associações de idosos, Polícia Militar, Guarda Civil Municipal e Ministério Público para promover ações de orientação e prevenção, como:</w:t>
      </w:r>
    </w:p>
    <w:p w:rsidR="007032FD" w:rsidRPr="00341C12" w:rsidP="00341C12" w14:paraId="525610E4" w14:textId="77777777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hAnsi="Arial" w:cs="Arial"/>
        </w:rPr>
        <w:t>I – Campanhas educativas sobre segurança no uso de cartões bancários;</w:t>
      </w:r>
    </w:p>
    <w:p w:rsidR="007032FD" w:rsidRPr="00341C12" w:rsidP="00341C12" w14:paraId="15F60D22" w14:textId="50D617E2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hAnsi="Arial" w:cs="Arial"/>
        </w:rPr>
        <w:t xml:space="preserve">II – Incentivo à desativação da função de aproximação (NFC) para </w:t>
      </w:r>
      <w:r w:rsidR="00A35FB3">
        <w:rPr>
          <w:rFonts w:ascii="Arial" w:hAnsi="Arial" w:cs="Arial"/>
        </w:rPr>
        <w:t xml:space="preserve">aqueles </w:t>
      </w:r>
      <w:r w:rsidRPr="00341C12">
        <w:rPr>
          <w:rFonts w:ascii="Arial" w:hAnsi="Arial" w:cs="Arial"/>
        </w:rPr>
        <w:t>que assim desejarem;</w:t>
      </w:r>
    </w:p>
    <w:p w:rsidR="007032FD" w:rsidRPr="00341C12" w:rsidP="00341C12" w14:paraId="2C5AF887" w14:textId="77777777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hAnsi="Arial" w:cs="Arial"/>
        </w:rPr>
        <w:t>III – Orientações sobre o uso de capas protetoras anti-NFC;</w:t>
      </w:r>
    </w:p>
    <w:p w:rsidR="007032FD" w:rsidRPr="00341C12" w:rsidP="00341C12" w14:paraId="17549953" w14:textId="238ACE36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hAnsi="Arial" w:cs="Arial"/>
        </w:rPr>
        <w:t>IV – Distribuição de cartilhas, palestras e atendimento especializado nos centros de convivência, UBSs e CRA.</w:t>
      </w:r>
    </w:p>
    <w:p w:rsidR="007032FD" w:rsidRPr="00341C12" w:rsidP="00341C12" w14:paraId="5D58BA0B" w14:textId="77777777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eastAsia="Times New Roman" w:hAnsi="Arial" w:cs="Arial"/>
          <w:b/>
          <w:bCs/>
        </w:rPr>
        <w:t xml:space="preserve">Art. 4º. </w:t>
      </w:r>
      <w:r w:rsidRPr="00341C12">
        <w:rPr>
          <w:rFonts w:ascii="Arial" w:hAnsi="Arial" w:cs="Arial"/>
        </w:rPr>
        <w:t>O descumprimento das disposições desta Lei sujeitará o estabelecimento infrator às seguintes penalidades:</w:t>
      </w:r>
    </w:p>
    <w:p w:rsidR="007032FD" w:rsidRPr="00341C12" w:rsidP="00341C12" w14:paraId="2BD087AE" w14:textId="77777777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hAnsi="Arial" w:cs="Arial"/>
        </w:rPr>
        <w:t>I – Advertência por escrito na primeira ocorrência;</w:t>
      </w:r>
    </w:p>
    <w:p w:rsidR="007032FD" w:rsidRPr="00341C12" w:rsidP="00341C12" w14:paraId="4DE374A7" w14:textId="77777777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hAnsi="Arial" w:cs="Arial"/>
        </w:rPr>
        <w:t>II – Multa no valor de R$ 500,00 (quinhentos reais) em caso de reincidência;</w:t>
      </w:r>
    </w:p>
    <w:p w:rsidR="007032FD" w:rsidRPr="00341C12" w:rsidP="00341C12" w14:paraId="35BED386" w14:textId="2D79B865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hAnsi="Arial" w:cs="Arial"/>
        </w:rPr>
        <w:t>III – Multa progressiva em caso de descumprimento reiterado</w:t>
      </w:r>
      <w:r w:rsidR="00D578CC">
        <w:rPr>
          <w:rFonts w:ascii="Arial" w:hAnsi="Arial" w:cs="Arial"/>
        </w:rPr>
        <w:t xml:space="preserve">, </w:t>
      </w:r>
      <w:r w:rsidRPr="00D578CC" w:rsidR="00D578CC">
        <w:rPr>
          <w:rFonts w:ascii="Arial" w:hAnsi="Arial" w:cs="Arial"/>
        </w:rPr>
        <w:t>aplicando</w:t>
      </w:r>
      <w:r w:rsidRPr="00D578CC" w:rsidR="00D578CC">
        <w:rPr>
          <w:rFonts w:ascii="Cambria Math" w:hAnsi="Cambria Math" w:cs="Cambria Math"/>
        </w:rPr>
        <w:t>‑</w:t>
      </w:r>
      <w:r w:rsidRPr="00D578CC" w:rsidR="00D578CC">
        <w:rPr>
          <w:rFonts w:ascii="Arial" w:hAnsi="Arial" w:cs="Arial"/>
        </w:rPr>
        <w:t>se, a cada reincidência, valor correspondente ao dobro da multa anteriormente imposta</w:t>
      </w:r>
      <w:r w:rsidR="00D578CC">
        <w:rPr>
          <w:rFonts w:ascii="Arial" w:hAnsi="Arial" w:cs="Arial"/>
        </w:rPr>
        <w:t>;</w:t>
      </w:r>
    </w:p>
    <w:p w:rsidR="007032FD" w:rsidRPr="00341C12" w:rsidP="00341C12" w14:paraId="5E98F6D4" w14:textId="77777777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hAnsi="Arial" w:cs="Arial"/>
        </w:rPr>
        <w:t>IV – Encaminhamento ao Ministério Público, caso fique caracterizada omissão dolosa que resulte em prejuízo ao idoso.</w:t>
      </w:r>
    </w:p>
    <w:p w:rsidR="00FF44E0" w:rsidRPr="00341C12" w:rsidP="00341C12" w14:paraId="797050B2" w14:textId="22E59B21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eastAsia="Times New Roman" w:hAnsi="Arial" w:cs="Arial"/>
          <w:b/>
          <w:bCs/>
        </w:rPr>
        <w:t xml:space="preserve">Art. </w:t>
      </w:r>
      <w:r w:rsidRPr="00341C12" w:rsidR="004B4CD1">
        <w:rPr>
          <w:rFonts w:ascii="Arial" w:eastAsia="Times New Roman" w:hAnsi="Arial" w:cs="Arial"/>
          <w:b/>
          <w:bCs/>
        </w:rPr>
        <w:t>5</w:t>
      </w:r>
      <w:r w:rsidRPr="00341C12">
        <w:rPr>
          <w:rFonts w:ascii="Arial" w:eastAsia="Times New Roman" w:hAnsi="Arial" w:cs="Arial"/>
          <w:b/>
          <w:bCs/>
        </w:rPr>
        <w:t xml:space="preserve">º. </w:t>
      </w:r>
      <w:r w:rsidRPr="00341C12">
        <w:rPr>
          <w:rFonts w:ascii="Arial" w:hAnsi="Arial" w:cs="Arial"/>
        </w:rPr>
        <w:t>A fiscalização desta Lei será de responsabilidade dos órgãos municipais de defesa do consumidor, com apoio da Guarda Civil Municipal e demais órgãos competentes.</w:t>
      </w:r>
    </w:p>
    <w:p w:rsidR="00E84F2E" w:rsidRPr="00341C12" w:rsidP="00341C12" w14:paraId="4561C5BE" w14:textId="704C3219">
      <w:pPr>
        <w:spacing w:before="240" w:after="240" w:line="240" w:lineRule="auto"/>
        <w:ind w:firstLine="1701"/>
        <w:jc w:val="both"/>
        <w:rPr>
          <w:rFonts w:ascii="Arial" w:hAnsi="Arial" w:cs="Arial"/>
        </w:rPr>
      </w:pPr>
      <w:r w:rsidRPr="00341C12">
        <w:rPr>
          <w:rFonts w:ascii="Arial" w:eastAsia="Times New Roman" w:hAnsi="Arial" w:cs="Arial"/>
          <w:b/>
          <w:bCs/>
        </w:rPr>
        <w:t xml:space="preserve">Art. 6º. </w:t>
      </w:r>
      <w:r w:rsidRPr="00341C12">
        <w:rPr>
          <w:rFonts w:ascii="Arial" w:hAnsi="Arial" w:cs="Arial"/>
        </w:rPr>
        <w:t>O Poder Executivo regulamentará esta Lei no que couber, no prazo de 60 (sessenta) dias a contar da data de sua publicação.</w:t>
      </w:r>
    </w:p>
    <w:p w:rsidR="00E84F2E" w:rsidRPr="00341C12" w:rsidP="00341C12" w14:paraId="3C4E9250" w14:textId="23A1112C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  <w:r w:rsidRPr="00341C12">
        <w:rPr>
          <w:rFonts w:ascii="Arial" w:eastAsia="Times New Roman" w:hAnsi="Arial" w:cs="Arial"/>
          <w:b/>
          <w:bCs/>
        </w:rPr>
        <w:t xml:space="preserve">Art. </w:t>
      </w:r>
      <w:r w:rsidRPr="00341C12" w:rsidR="00FF44E0">
        <w:rPr>
          <w:rFonts w:ascii="Arial" w:eastAsia="Times New Roman" w:hAnsi="Arial" w:cs="Arial"/>
          <w:b/>
          <w:bCs/>
        </w:rPr>
        <w:t>7</w:t>
      </w:r>
      <w:r w:rsidRPr="00341C12">
        <w:rPr>
          <w:rFonts w:ascii="Arial" w:eastAsia="Times New Roman" w:hAnsi="Arial" w:cs="Arial"/>
          <w:b/>
          <w:bCs/>
        </w:rPr>
        <w:t>º</w:t>
      </w:r>
      <w:r w:rsidRPr="00341C12" w:rsidR="00DC670A">
        <w:rPr>
          <w:rFonts w:ascii="Arial" w:eastAsia="Times New Roman" w:hAnsi="Arial" w:cs="Arial"/>
          <w:b/>
          <w:bCs/>
        </w:rPr>
        <w:t>.</w:t>
      </w:r>
      <w:r w:rsidRPr="00341C12">
        <w:rPr>
          <w:rFonts w:ascii="Arial" w:eastAsia="Times New Roman" w:hAnsi="Arial" w:cs="Arial"/>
        </w:rPr>
        <w:t xml:space="preserve"> </w:t>
      </w:r>
      <w:r w:rsidRPr="00341C12">
        <w:rPr>
          <w:rFonts w:ascii="Arial" w:eastAsia="Times New Roman" w:hAnsi="Arial" w:cs="Arial"/>
        </w:rPr>
        <w:t>Esta lei entra em vigor na data de sua publicação.</w:t>
      </w:r>
    </w:p>
    <w:p w:rsidR="002D1B8F" w:rsidRPr="00341C12" w:rsidP="000954A2" w14:paraId="02CF0999" w14:textId="77777777">
      <w:pPr>
        <w:spacing w:before="240" w:after="240" w:line="240" w:lineRule="auto"/>
        <w:jc w:val="center"/>
        <w:rPr>
          <w:rFonts w:ascii="Arial" w:hAnsi="Arial" w:cs="Arial"/>
        </w:rPr>
      </w:pPr>
    </w:p>
    <w:p w:rsidR="000954A2" w:rsidRPr="00341C12" w:rsidP="000954A2" w14:paraId="7B17230C" w14:textId="29CD1FD6">
      <w:pPr>
        <w:spacing w:before="240" w:after="240" w:line="240" w:lineRule="auto"/>
        <w:jc w:val="center"/>
        <w:rPr>
          <w:rFonts w:ascii="Arial" w:hAnsi="Arial" w:cs="Arial"/>
        </w:rPr>
      </w:pPr>
      <w:r w:rsidRPr="00341C12">
        <w:rPr>
          <w:rFonts w:ascii="Arial" w:hAnsi="Arial" w:cs="Arial"/>
        </w:rPr>
        <w:t xml:space="preserve">Sumaré, </w:t>
      </w:r>
      <w:r w:rsidRPr="001E7146" w:rsidR="001E7146">
        <w:rPr>
          <w:rFonts w:ascii="Arial" w:hAnsi="Arial" w:cs="Arial"/>
        </w:rPr>
        <w:t>28 de agosto</w:t>
      </w:r>
      <w:r w:rsidRPr="001E7146" w:rsidR="001E7146">
        <w:rPr>
          <w:rFonts w:ascii="Arial" w:hAnsi="Arial" w:cs="Arial"/>
        </w:rPr>
        <w:t xml:space="preserve"> </w:t>
      </w:r>
      <w:r w:rsidRPr="00341C12">
        <w:rPr>
          <w:rFonts w:ascii="Arial" w:hAnsi="Arial" w:cs="Arial"/>
        </w:rPr>
        <w:t>de 2025.</w:t>
      </w:r>
    </w:p>
    <w:p w:rsidR="00B726A9" w:rsidRPr="00341C12" w:rsidP="000954A2" w14:paraId="5B794C05" w14:textId="7E6E56F5">
      <w:pPr>
        <w:spacing w:before="240" w:after="240" w:line="240" w:lineRule="auto"/>
        <w:jc w:val="center"/>
        <w:rPr>
          <w:rFonts w:ascii="Arial" w:hAnsi="Arial" w:cs="Arial"/>
        </w:rPr>
      </w:pPr>
    </w:p>
    <w:p w:rsidR="00B726A9" w:rsidRPr="0042148E" w:rsidP="000954A2" w14:paraId="555D6455" w14:textId="3DC8BC5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2138045</wp:posOffset>
            </wp:positionH>
            <wp:positionV relativeFrom="paragraph">
              <wp:posOffset>250190</wp:posOffset>
            </wp:positionV>
            <wp:extent cx="1504950" cy="575668"/>
            <wp:effectExtent l="0" t="0" r="0" b="0"/>
            <wp:wrapNone/>
            <wp:docPr id="203856565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575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0954A2" w:rsidRPr="0042148E" w:rsidP="004B4CD1" w14:paraId="34C639A8" w14:textId="3548E08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sz w:val="24"/>
          <w:szCs w:val="24"/>
        </w:rPr>
        <w:t xml:space="preserve"> </w:t>
      </w:r>
    </w:p>
    <w:p w:rsidR="000954A2" w:rsidRPr="0042148E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Geraldo Medeiros da Silva </w:t>
      </w:r>
    </w:p>
    <w:p w:rsidR="000954A2" w:rsidRPr="0042148E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345212" w:rsidRPr="0042148E" w:rsidP="000954A2" w14:paraId="423B0125" w14:textId="404653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p w:rsidR="00345212" w:rsidRPr="0042148E" w14:paraId="64FCD5B1" w14:textId="77777777">
      <w:pPr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br w:type="page"/>
      </w:r>
    </w:p>
    <w:p w:rsidR="00345212" w:rsidRPr="0042148E" w:rsidP="00345212" w14:paraId="26FC1C8D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2148E">
        <w:rPr>
          <w:rFonts w:ascii="Arial" w:eastAsia="Times New Roman" w:hAnsi="Arial" w:cs="Arial"/>
          <w:b/>
          <w:bCs/>
          <w:sz w:val="24"/>
          <w:szCs w:val="24"/>
        </w:rPr>
        <w:t>JUSTIFICATIVA</w:t>
      </w:r>
    </w:p>
    <w:p w:rsidR="00345212" w:rsidRPr="00EF336A" w:rsidP="004F7465" w14:paraId="08DADFE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</w:p>
    <w:p w:rsidR="004F7465" w:rsidRPr="00EF336A" w:rsidP="004F7465" w14:paraId="1325F0BD" w14:textId="5828473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EF336A">
        <w:rPr>
          <w:rFonts w:ascii="Arial" w:hAnsi="Arial" w:cs="Arial"/>
          <w:bCs/>
        </w:rPr>
        <w:t xml:space="preserve">O presente Projeto de Lei tem como objetivo reforçar a segurança </w:t>
      </w:r>
      <w:r w:rsidRPr="00EF336A" w:rsidR="00683C06">
        <w:rPr>
          <w:rFonts w:ascii="Arial" w:hAnsi="Arial" w:cs="Arial"/>
          <w:bCs/>
        </w:rPr>
        <w:t xml:space="preserve">financeira </w:t>
      </w:r>
      <w:r w:rsidRPr="00EF336A">
        <w:rPr>
          <w:rFonts w:ascii="Arial" w:hAnsi="Arial" w:cs="Arial"/>
          <w:bCs/>
        </w:rPr>
        <w:t xml:space="preserve">das pessoas </w:t>
      </w:r>
      <w:r w:rsidRPr="00EF336A" w:rsidR="00683C06">
        <w:rPr>
          <w:rFonts w:ascii="Arial" w:hAnsi="Arial" w:cs="Arial"/>
          <w:bCs/>
        </w:rPr>
        <w:t xml:space="preserve">que utilizam cartões de crédito ou débito, especialmente as pessoas </w:t>
      </w:r>
      <w:r w:rsidRPr="00EF336A">
        <w:rPr>
          <w:rFonts w:ascii="Arial" w:hAnsi="Arial" w:cs="Arial"/>
          <w:bCs/>
        </w:rPr>
        <w:t>idosas, grupo altamente vulnerável às ações de estelionatários e criminosos que se aproveitam da fragilidade, da lentidão ou da boa-fé d</w:t>
      </w:r>
      <w:r w:rsidR="007C7D4B">
        <w:rPr>
          <w:rFonts w:ascii="Arial" w:hAnsi="Arial" w:cs="Arial"/>
          <w:bCs/>
        </w:rPr>
        <w:t xml:space="preserve">as pessoas </w:t>
      </w:r>
      <w:r w:rsidRPr="00EF336A">
        <w:rPr>
          <w:rFonts w:ascii="Arial" w:hAnsi="Arial" w:cs="Arial"/>
          <w:bCs/>
        </w:rPr>
        <w:t>para aplicar golpes.</w:t>
      </w:r>
    </w:p>
    <w:p w:rsidR="004F7465" w:rsidRPr="00EF336A" w:rsidP="004F7465" w14:paraId="2B9185FB" w14:textId="53B1E2A8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EF336A">
        <w:rPr>
          <w:rFonts w:ascii="Arial" w:hAnsi="Arial" w:cs="Arial"/>
          <w:bCs/>
        </w:rPr>
        <w:t xml:space="preserve">Com o avanço da tecnologia de pagamento por aproximação (NFC), tornou-se ainda mais fácil para pessoas mal-intencionadas realizarem compras sem a necessidade de senha, utilizando cartões furtados ou emprestados de maneira irregular. Tal prática tem gerado prejuízos financeiros e emocionais aos às </w:t>
      </w:r>
      <w:r w:rsidRPr="00EF336A" w:rsidR="001B54B7">
        <w:rPr>
          <w:rFonts w:ascii="Arial" w:hAnsi="Arial" w:cs="Arial"/>
          <w:bCs/>
        </w:rPr>
        <w:t>vítimas e familiares</w:t>
      </w:r>
      <w:r w:rsidRPr="00EF336A">
        <w:rPr>
          <w:rFonts w:ascii="Arial" w:hAnsi="Arial" w:cs="Arial"/>
          <w:bCs/>
        </w:rPr>
        <w:t>.</w:t>
      </w:r>
    </w:p>
    <w:p w:rsidR="004F7465" w:rsidRPr="00EF336A" w:rsidP="004F7465" w14:paraId="7609536D" w14:textId="14F1AAEE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EF336A">
        <w:rPr>
          <w:rFonts w:ascii="Arial" w:hAnsi="Arial" w:cs="Arial"/>
          <w:bCs/>
        </w:rPr>
        <w:t>Ao exigir a apresentação de documento oficial com foto quando o cartão utilizado for de terceiros, os estabelecimentos colaboram ativamente com a prevenção de fraudes, resguardam os direitos dos consumidores e cumprem sua função social. A medida também protege os próprios comerciantes de eventuais implicações legais e morais.</w:t>
      </w:r>
      <w:r w:rsidR="002C613D">
        <w:rPr>
          <w:rFonts w:ascii="Arial" w:hAnsi="Arial" w:cs="Arial"/>
          <w:bCs/>
        </w:rPr>
        <w:t xml:space="preserve"> </w:t>
      </w:r>
      <w:r w:rsidRPr="00EF336A">
        <w:rPr>
          <w:rFonts w:ascii="Arial" w:hAnsi="Arial" w:cs="Arial"/>
          <w:bCs/>
        </w:rPr>
        <w:t>É papel do poder público legislar em defesa da população mais vulnerável, promovendo o bem-estar, a segurança e a dignidade da</w:t>
      </w:r>
      <w:r w:rsidR="002C613D">
        <w:rPr>
          <w:rFonts w:ascii="Arial" w:hAnsi="Arial" w:cs="Arial"/>
          <w:bCs/>
        </w:rPr>
        <w:t>s</w:t>
      </w:r>
      <w:r w:rsidRPr="00EF336A">
        <w:rPr>
          <w:rFonts w:ascii="Arial" w:hAnsi="Arial" w:cs="Arial"/>
          <w:bCs/>
        </w:rPr>
        <w:t xml:space="preserve"> pessoa</w:t>
      </w:r>
      <w:r w:rsidR="002C613D">
        <w:rPr>
          <w:rFonts w:ascii="Arial" w:hAnsi="Arial" w:cs="Arial"/>
          <w:bCs/>
        </w:rPr>
        <w:t>s</w:t>
      </w:r>
      <w:r w:rsidRPr="00EF336A">
        <w:rPr>
          <w:rFonts w:ascii="Arial" w:hAnsi="Arial" w:cs="Arial"/>
          <w:bCs/>
        </w:rPr>
        <w:t xml:space="preserve">. Com a aprovação desta Lei, o Município de </w:t>
      </w:r>
      <w:r w:rsidRPr="00EF336A" w:rsidR="00A54975">
        <w:rPr>
          <w:rFonts w:ascii="Arial" w:hAnsi="Arial" w:cs="Arial"/>
          <w:bCs/>
        </w:rPr>
        <w:t>Sumaré</w:t>
      </w:r>
      <w:r w:rsidRPr="00EF336A">
        <w:rPr>
          <w:rFonts w:ascii="Arial" w:hAnsi="Arial" w:cs="Arial"/>
          <w:bCs/>
        </w:rPr>
        <w:t xml:space="preserve"> dará um passo importante no combate à exploração financeira.</w:t>
      </w:r>
    </w:p>
    <w:p w:rsidR="00B137D8" w:rsidRPr="00EF336A" w:rsidP="00B137D8" w14:paraId="4A34328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EF336A">
        <w:rPr>
          <w:rFonts w:ascii="Arial" w:hAnsi="Arial" w:cs="Arial"/>
          <w:bCs/>
        </w:rPr>
        <w:t>O presente Projeto de Lei encontra amplo respaldo no ordenamento jurídico brasileiro. A Constituição Federal, em seu artigo 230, estabelece o dever do Estado de amparar a pessoa idosa, garantindo-lhe dignidade, bem</w:t>
      </w:r>
      <w:r w:rsidRPr="00EF336A">
        <w:rPr>
          <w:rFonts w:ascii="Cambria Math" w:hAnsi="Cambria Math" w:cs="Cambria Math"/>
          <w:bCs/>
        </w:rPr>
        <w:t>‑</w:t>
      </w:r>
      <w:r w:rsidRPr="00EF336A">
        <w:rPr>
          <w:rFonts w:ascii="Arial" w:hAnsi="Arial" w:cs="Arial"/>
          <w:bCs/>
        </w:rPr>
        <w:t>estar e participação social. No artigo 30, inciso I, da mesma Carta, confere</w:t>
      </w:r>
      <w:r w:rsidRPr="00EF336A">
        <w:rPr>
          <w:rFonts w:ascii="Cambria Math" w:hAnsi="Cambria Math" w:cs="Cambria Math"/>
          <w:bCs/>
        </w:rPr>
        <w:t>‑</w:t>
      </w:r>
      <w:r w:rsidRPr="00EF336A">
        <w:rPr>
          <w:rFonts w:ascii="Arial" w:hAnsi="Arial" w:cs="Arial"/>
          <w:bCs/>
        </w:rPr>
        <w:t>se ao município competência para legislar sobre assuntos de interesse local, como a segurança em estabelecimentos comerciais.</w:t>
      </w:r>
    </w:p>
    <w:p w:rsidR="00B137D8" w:rsidRPr="00EF336A" w:rsidP="00B137D8" w14:paraId="7613982C" w14:textId="59072FEC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EF336A">
        <w:rPr>
          <w:rFonts w:ascii="Arial" w:hAnsi="Arial" w:cs="Arial"/>
          <w:bCs/>
        </w:rPr>
        <w:t xml:space="preserve">O artigo 2º detalha medidas de conduta dos comerciantes, apoiadas em normas já consagradas </w:t>
      </w:r>
      <w:r w:rsidR="00C140E4">
        <w:rPr>
          <w:rFonts w:ascii="Arial" w:hAnsi="Arial" w:cs="Arial"/>
          <w:bCs/>
        </w:rPr>
        <w:t>em nossa sociedade</w:t>
      </w:r>
      <w:r w:rsidRPr="00EF336A">
        <w:rPr>
          <w:rFonts w:ascii="Arial" w:hAnsi="Arial" w:cs="Arial"/>
          <w:bCs/>
        </w:rPr>
        <w:t>. A obrigatoriedade de conferir documento com foto quando o cartão não estiver em nome do portador baseia</w:t>
      </w:r>
      <w:r w:rsidRPr="00EF336A">
        <w:rPr>
          <w:rFonts w:ascii="Cambria Math" w:hAnsi="Cambria Math" w:cs="Cambria Math"/>
          <w:bCs/>
        </w:rPr>
        <w:t>‑</w:t>
      </w:r>
      <w:r w:rsidRPr="00EF336A">
        <w:rPr>
          <w:rFonts w:ascii="Arial" w:hAnsi="Arial" w:cs="Arial"/>
          <w:bCs/>
        </w:rPr>
        <w:t>se na proteção contra fraudes de identidade (</w:t>
      </w:r>
      <w:r w:rsidRPr="001E75C9" w:rsidR="001E75C9">
        <w:rPr>
          <w:rFonts w:ascii="Arial" w:hAnsi="Arial" w:cs="Arial"/>
          <w:bCs/>
        </w:rPr>
        <w:t>art. 4º, caput, I, V, IX e X; art. 6º, VI, XI e XII</w:t>
      </w:r>
      <w:r w:rsidRPr="00EF336A">
        <w:rPr>
          <w:rFonts w:ascii="Arial" w:hAnsi="Arial" w:cs="Arial"/>
          <w:bCs/>
        </w:rPr>
        <w:t>, CDC) e no Estatuto do Idoso (art. 4º), que impõe prioridade à proteção dos direitos da pessoa idosa. A recusa respeitosa de operação em caso de indícios de uso indevido, aliada à fixação de cartazes informativos nos pontos de pagamento, atende ao direito à informação clara (art. 6º, III e IV, CDC)</w:t>
      </w:r>
      <w:r w:rsidRPr="00EF336A" w:rsidR="006E0631">
        <w:rPr>
          <w:rFonts w:ascii="Arial" w:hAnsi="Arial" w:cs="Arial"/>
          <w:bCs/>
        </w:rPr>
        <w:t>. A</w:t>
      </w:r>
      <w:r w:rsidRPr="00EF336A">
        <w:rPr>
          <w:rFonts w:ascii="Arial" w:hAnsi="Arial" w:cs="Arial"/>
          <w:bCs/>
        </w:rPr>
        <w:t xml:space="preserve"> capacitação de colaboradores para identificação de situações suspeitas e orientação ao idoso está fundamentada no art. 4º, inciso</w:t>
      </w:r>
      <w:r w:rsidR="003649CB">
        <w:rPr>
          <w:rFonts w:ascii="Arial" w:hAnsi="Arial" w:cs="Arial"/>
          <w:bCs/>
        </w:rPr>
        <w:t>s V e</w:t>
      </w:r>
      <w:r w:rsidRPr="00EF336A">
        <w:rPr>
          <w:rFonts w:ascii="Arial" w:hAnsi="Arial" w:cs="Arial"/>
          <w:bCs/>
        </w:rPr>
        <w:t xml:space="preserve"> IX, do CDC, bem como no </w:t>
      </w:r>
      <w:r w:rsidR="004B3AA5">
        <w:rPr>
          <w:rFonts w:ascii="Arial" w:hAnsi="Arial" w:cs="Arial"/>
          <w:bCs/>
        </w:rPr>
        <w:t>a</w:t>
      </w:r>
      <w:r w:rsidRPr="004B3AA5" w:rsidR="004B3AA5">
        <w:rPr>
          <w:rFonts w:ascii="Arial" w:hAnsi="Arial" w:cs="Arial"/>
          <w:bCs/>
        </w:rPr>
        <w:t>rt. 3º, §1º, inciso VI</w:t>
      </w:r>
      <w:r w:rsidRPr="004B3AA5" w:rsidR="004B3AA5">
        <w:rPr>
          <w:rFonts w:ascii="Arial" w:hAnsi="Arial" w:cs="Arial"/>
          <w:bCs/>
        </w:rPr>
        <w:t xml:space="preserve"> </w:t>
      </w:r>
      <w:r w:rsidRPr="00EF336A">
        <w:rPr>
          <w:rFonts w:ascii="Arial" w:hAnsi="Arial" w:cs="Arial"/>
          <w:bCs/>
        </w:rPr>
        <w:t>do Estatuto do Idoso, que atribui ao Poder Público o dever de promover formação e orientação.</w:t>
      </w:r>
      <w:r w:rsidRPr="00EF336A" w:rsidR="006E0631">
        <w:rPr>
          <w:rFonts w:ascii="Arial" w:hAnsi="Arial" w:cs="Arial"/>
          <w:bCs/>
        </w:rPr>
        <w:t xml:space="preserve"> Por fim, o inciso V encontra respaldo no direito à reparação integral assegurado pelo Código de Defesa do Consumidor (art. 6º, VI, e art. 14), que impõe ao fornecedor a responsabilidade objetiva pelos danos ao consumidor, bem como no princípio da efetividade da tutela consumerista, garantindo que o idoso não arque com prejuízos decorrentes de atos ilícitos de terceiros.</w:t>
      </w:r>
    </w:p>
    <w:p w:rsidR="00B137D8" w:rsidRPr="00EF336A" w:rsidP="00B137D8" w14:paraId="6BD8B027" w14:textId="47BB6BEE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EF336A">
        <w:rPr>
          <w:rFonts w:ascii="Arial" w:hAnsi="Arial" w:cs="Arial"/>
          <w:bCs/>
        </w:rPr>
        <w:t xml:space="preserve">O artigo 3º </w:t>
      </w:r>
      <w:r w:rsidR="00981DB4">
        <w:rPr>
          <w:rFonts w:ascii="Arial" w:hAnsi="Arial" w:cs="Arial"/>
          <w:bCs/>
        </w:rPr>
        <w:t xml:space="preserve">deste Projeto de Lei </w:t>
      </w:r>
      <w:r w:rsidRPr="00EF336A">
        <w:rPr>
          <w:rFonts w:ascii="Arial" w:hAnsi="Arial" w:cs="Arial"/>
          <w:bCs/>
        </w:rPr>
        <w:t xml:space="preserve">reforça a importância de parcerias entre o Executivo municipal, instituições financeiras, entidades de defesa do consumidor, associações de idosos, Polícia Militar, Guarda Civil Municipal e Ministério Público. </w:t>
      </w:r>
      <w:r w:rsidR="009C4C25">
        <w:rPr>
          <w:rFonts w:ascii="Arial" w:hAnsi="Arial" w:cs="Arial"/>
          <w:bCs/>
        </w:rPr>
        <w:t>Assim, e</w:t>
      </w:r>
      <w:r w:rsidRPr="00EF336A">
        <w:rPr>
          <w:rFonts w:ascii="Arial" w:hAnsi="Arial" w:cs="Arial"/>
          <w:bCs/>
        </w:rPr>
        <w:t xml:space="preserve">m consonância com </w:t>
      </w:r>
      <w:r w:rsidR="009C4C25">
        <w:rPr>
          <w:rFonts w:ascii="Arial" w:hAnsi="Arial" w:cs="Arial"/>
          <w:bCs/>
        </w:rPr>
        <w:t>diversos dispositivos do</w:t>
      </w:r>
      <w:r w:rsidRPr="00EF336A">
        <w:rPr>
          <w:rFonts w:ascii="Arial" w:hAnsi="Arial" w:cs="Arial"/>
          <w:bCs/>
        </w:rPr>
        <w:t xml:space="preserve"> CDC</w:t>
      </w:r>
      <w:r w:rsidR="009C4C25">
        <w:rPr>
          <w:rFonts w:ascii="Arial" w:hAnsi="Arial" w:cs="Arial"/>
          <w:bCs/>
        </w:rPr>
        <w:t>, da</w:t>
      </w:r>
      <w:r w:rsidRPr="00EF336A">
        <w:rPr>
          <w:rFonts w:ascii="Arial" w:hAnsi="Arial" w:cs="Arial"/>
          <w:bCs/>
        </w:rPr>
        <w:t xml:space="preserve"> Lei da Ação Civil Pública</w:t>
      </w:r>
      <w:r w:rsidR="009C4C25">
        <w:rPr>
          <w:rFonts w:ascii="Arial" w:hAnsi="Arial" w:cs="Arial"/>
          <w:bCs/>
        </w:rPr>
        <w:t xml:space="preserve"> e do Estatuto da Pessoa Idosa</w:t>
      </w:r>
      <w:r w:rsidRPr="00EF336A">
        <w:rPr>
          <w:rFonts w:ascii="Arial" w:hAnsi="Arial" w:cs="Arial"/>
          <w:bCs/>
        </w:rPr>
        <w:t>, essas parcerias permitirão a realização de campanhas educativas, o incentivo à desativação voluntária da função NFC</w:t>
      </w:r>
      <w:r w:rsidR="009C4C25">
        <w:rPr>
          <w:rFonts w:ascii="Arial" w:hAnsi="Arial" w:cs="Arial"/>
          <w:bCs/>
        </w:rPr>
        <w:t xml:space="preserve"> (pagamento por aproximação)</w:t>
      </w:r>
      <w:r w:rsidRPr="00EF336A">
        <w:rPr>
          <w:rFonts w:ascii="Arial" w:hAnsi="Arial" w:cs="Arial"/>
          <w:bCs/>
        </w:rPr>
        <w:t xml:space="preserve">, a orientação sobre capas protetoras </w:t>
      </w:r>
      <w:r w:rsidRPr="00EF336A">
        <w:rPr>
          <w:rFonts w:ascii="Arial" w:hAnsi="Arial" w:cs="Arial"/>
          <w:bCs/>
        </w:rPr>
        <w:t>e a distribuição de material informativo em centros de convivência e unidades de saúde, ampliando o alcance das mensagens de prevenção.</w:t>
      </w:r>
    </w:p>
    <w:p w:rsidR="00B137D8" w:rsidRPr="00EF336A" w:rsidP="00B137D8" w14:paraId="2FAC0929" w14:textId="69344AEC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EF336A">
        <w:rPr>
          <w:rFonts w:ascii="Arial" w:hAnsi="Arial" w:cs="Arial"/>
          <w:bCs/>
        </w:rPr>
        <w:t>No tocante às sanções administrativas (art. 4º), o projeto adapta ao âmbito municipal as penalidades previstas no art. 56 do CDC: advertência por escrito na primeira infração; multa de R$ 500,00 em caso de reincidência; e multa progressiva em face de descumprimento reiterado, em harmonia com a possibilidade de multa diária prevista no § 3º do mesmo dispositivo. Além disso, o encaminhamento ao Ministério Público em caso de “omissão dolosa que resulte em prejuízo ao idoso” não cria nova sanção, mas institui um mecanismo de responsabilização institucional, reforçando o dever do MP (art. 129, I e III, CF; art. 8</w:t>
      </w:r>
      <w:r w:rsidR="00FE7DA9">
        <w:rPr>
          <w:rFonts w:ascii="Arial" w:hAnsi="Arial" w:cs="Arial"/>
          <w:bCs/>
        </w:rPr>
        <w:t>7</w:t>
      </w:r>
      <w:r w:rsidRPr="00EF336A">
        <w:rPr>
          <w:rFonts w:ascii="Arial" w:hAnsi="Arial" w:cs="Arial"/>
          <w:bCs/>
        </w:rPr>
        <w:t>, Estatuto do Idoso) de promover inquérito civil, ação civil pública e, se cabível, ação penal para proteger interesses difusos e coletivos.</w:t>
      </w:r>
    </w:p>
    <w:p w:rsidR="00B137D8" w:rsidRPr="00EF336A" w:rsidP="00B137D8" w14:paraId="6802F16B" w14:textId="5A1AFBDC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EF336A">
        <w:rPr>
          <w:rFonts w:ascii="Arial" w:hAnsi="Arial" w:cs="Arial"/>
          <w:bCs/>
        </w:rPr>
        <w:t>A fiscalização, a cargo do Procon Municipal com apoio da Guarda Civil (art. 5º</w:t>
      </w:r>
      <w:r w:rsidR="00645359">
        <w:rPr>
          <w:rFonts w:ascii="Arial" w:hAnsi="Arial" w:cs="Arial"/>
          <w:bCs/>
        </w:rPr>
        <w:t xml:space="preserve"> deste PL</w:t>
      </w:r>
      <w:r w:rsidRPr="00EF336A">
        <w:rPr>
          <w:rFonts w:ascii="Arial" w:hAnsi="Arial" w:cs="Arial"/>
          <w:bCs/>
        </w:rPr>
        <w:t xml:space="preserve">), está respaldada </w:t>
      </w:r>
      <w:r w:rsidR="009A7950">
        <w:rPr>
          <w:rFonts w:ascii="Arial" w:hAnsi="Arial" w:cs="Arial"/>
          <w:bCs/>
        </w:rPr>
        <w:t>em diversos dispositivos da CF/88, CDC, do Estatuto do Idoso e</w:t>
      </w:r>
      <w:r w:rsidR="009E6003">
        <w:rPr>
          <w:rFonts w:ascii="Arial" w:hAnsi="Arial" w:cs="Arial"/>
          <w:bCs/>
        </w:rPr>
        <w:t xml:space="preserve"> da Lei </w:t>
      </w:r>
      <w:r w:rsidRPr="009E6003" w:rsidR="009E6003">
        <w:rPr>
          <w:rFonts w:ascii="Arial" w:hAnsi="Arial" w:cs="Arial"/>
          <w:bCs/>
        </w:rPr>
        <w:t xml:space="preserve">13.022, </w:t>
      </w:r>
      <w:r w:rsidRPr="009E6003" w:rsidR="009E6003">
        <w:rPr>
          <w:rFonts w:ascii="Arial" w:hAnsi="Arial" w:cs="Arial"/>
          <w:bCs/>
        </w:rPr>
        <w:t xml:space="preserve">de 8 de agosto de </w:t>
      </w:r>
      <w:r w:rsidRPr="009E6003" w:rsidR="009E6003">
        <w:rPr>
          <w:rFonts w:ascii="Arial" w:hAnsi="Arial" w:cs="Arial"/>
          <w:bCs/>
        </w:rPr>
        <w:t>2014</w:t>
      </w:r>
      <w:r w:rsidRPr="00EF336A">
        <w:rPr>
          <w:rFonts w:ascii="Arial" w:hAnsi="Arial" w:cs="Arial"/>
          <w:bCs/>
        </w:rPr>
        <w:t xml:space="preserve">. A regulamentação em até 60 dias (art. 6º) obedece ao princípio da eficiência </w:t>
      </w:r>
      <w:r w:rsidR="001E7146">
        <w:rPr>
          <w:rFonts w:ascii="Arial" w:hAnsi="Arial" w:cs="Arial"/>
          <w:bCs/>
        </w:rPr>
        <w:t>na Administração Pública</w:t>
      </w:r>
      <w:r w:rsidRPr="00EF336A">
        <w:rPr>
          <w:rFonts w:ascii="Arial" w:hAnsi="Arial" w:cs="Arial"/>
          <w:bCs/>
        </w:rPr>
        <w:t>, assegurando a pronta operacionalização das medidas previstas.</w:t>
      </w:r>
    </w:p>
    <w:p w:rsidR="00B137D8" w:rsidRPr="00EF336A" w:rsidP="00B137D8" w14:paraId="2B7C1EA8" w14:textId="67064167">
      <w:pPr>
        <w:spacing w:before="240" w:after="240" w:line="240" w:lineRule="auto"/>
        <w:ind w:firstLine="1418"/>
        <w:jc w:val="both"/>
        <w:rPr>
          <w:rFonts w:ascii="Arial" w:hAnsi="Arial" w:cs="Arial"/>
          <w:bCs/>
        </w:rPr>
      </w:pPr>
      <w:r w:rsidRPr="00EF336A">
        <w:rPr>
          <w:rFonts w:ascii="Arial" w:hAnsi="Arial" w:cs="Arial"/>
          <w:bCs/>
        </w:rPr>
        <w:t>Em síntese, este Projeto de Lei complementa normas federais e estaduais, adaptando</w:t>
      </w:r>
      <w:r w:rsidRPr="00EF336A">
        <w:rPr>
          <w:rFonts w:ascii="Cambria Math" w:hAnsi="Cambria Math" w:cs="Cambria Math"/>
          <w:bCs/>
        </w:rPr>
        <w:t>‑</w:t>
      </w:r>
      <w:r w:rsidRPr="00EF336A">
        <w:rPr>
          <w:rFonts w:ascii="Arial" w:hAnsi="Arial" w:cs="Arial"/>
          <w:bCs/>
        </w:rPr>
        <w:t>as ao contexto e às necessidades de Sumaré. Assim, fortalece a proteção de idosos e demais consumidores vulneráveis contra fraudes com cartões bancários, promovendo maior segurança, clareza e eficácia na aplicação das medidas de prevenção e responsabilização.</w:t>
      </w:r>
    </w:p>
    <w:p w:rsidR="004F7465" w:rsidRPr="00EF336A" w:rsidP="004F7465" w14:paraId="4CBB4E31" w14:textId="77777777">
      <w:pPr>
        <w:spacing w:before="240" w:after="240" w:line="240" w:lineRule="auto"/>
        <w:jc w:val="center"/>
        <w:rPr>
          <w:rFonts w:ascii="Arial" w:hAnsi="Arial" w:cs="Arial"/>
          <w:bCs/>
        </w:rPr>
      </w:pPr>
    </w:p>
    <w:p w:rsidR="004879C3" w:rsidP="0096157A" w14:paraId="5256CCEB" w14:textId="4E5520C8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Sala das Sessões, </w:t>
      </w:r>
      <w:r w:rsidR="001E7146">
        <w:rPr>
          <w:rFonts w:ascii="Arial" w:hAnsi="Arial" w:cs="Arial"/>
          <w:bCs/>
          <w:sz w:val="24"/>
          <w:szCs w:val="24"/>
        </w:rPr>
        <w:t>28</w:t>
      </w:r>
      <w:r w:rsidRPr="0042148E">
        <w:rPr>
          <w:rFonts w:ascii="Arial" w:hAnsi="Arial" w:cs="Arial"/>
          <w:bCs/>
          <w:sz w:val="24"/>
          <w:szCs w:val="24"/>
        </w:rPr>
        <w:t xml:space="preserve"> de </w:t>
      </w:r>
      <w:r w:rsidR="001E7146">
        <w:rPr>
          <w:rFonts w:ascii="Arial" w:hAnsi="Arial" w:cs="Arial"/>
          <w:bCs/>
          <w:sz w:val="24"/>
          <w:szCs w:val="24"/>
        </w:rPr>
        <w:t>agosto</w:t>
      </w:r>
      <w:r w:rsidRPr="0042148E">
        <w:rPr>
          <w:rFonts w:ascii="Arial" w:hAnsi="Arial" w:cs="Arial"/>
          <w:bCs/>
          <w:sz w:val="24"/>
          <w:szCs w:val="24"/>
        </w:rPr>
        <w:t xml:space="preserve"> de 2025.</w:t>
      </w:r>
    </w:p>
    <w:p w:rsidR="00EF336A" w:rsidP="0096157A" w14:paraId="31D3D2A2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F336A" w:rsidRPr="0042148E" w:rsidP="0096157A" w14:paraId="279329F0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F52180" w:rsidRPr="0042148E" w:rsidP="004879C3" w14:paraId="0D6FFDE3" w14:textId="72863BD2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8171</wp:posOffset>
            </wp:positionV>
            <wp:extent cx="1424763" cy="544995"/>
            <wp:effectExtent l="0" t="0" r="0" b="7620"/>
            <wp:wrapNone/>
            <wp:docPr id="85797499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384612" name="Imagem 191135065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9C3" w:rsidRPr="0042148E" w:rsidP="004879C3" w14:paraId="03E3CF03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Geraldo Medeiros da Silva </w:t>
      </w:r>
    </w:p>
    <w:p w:rsidR="004879C3" w:rsidRPr="0042148E" w:rsidP="004879C3" w14:paraId="5589476F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6D1E9A" w:rsidRPr="0042148E" w:rsidP="005B025B" w14:paraId="07A8F1E3" w14:textId="01E59A8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  <w:permEnd w:id="1"/>
    </w:p>
    <w:sectPr w:rsidSect="002C567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30440901" name="Imagem 730440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A8"/>
    <w:rsid w:val="00014F52"/>
    <w:rsid w:val="000239C4"/>
    <w:rsid w:val="00026D2B"/>
    <w:rsid w:val="00027901"/>
    <w:rsid w:val="000343EA"/>
    <w:rsid w:val="00035999"/>
    <w:rsid w:val="000556AD"/>
    <w:rsid w:val="00067240"/>
    <w:rsid w:val="000739AB"/>
    <w:rsid w:val="00091DD2"/>
    <w:rsid w:val="000954A2"/>
    <w:rsid w:val="000A2E32"/>
    <w:rsid w:val="000B096C"/>
    <w:rsid w:val="000B507F"/>
    <w:rsid w:val="000D2BDC"/>
    <w:rsid w:val="000D6E8A"/>
    <w:rsid w:val="000E3E1B"/>
    <w:rsid w:val="0010056F"/>
    <w:rsid w:val="0010387E"/>
    <w:rsid w:val="00104AAA"/>
    <w:rsid w:val="00111ED4"/>
    <w:rsid w:val="001215AC"/>
    <w:rsid w:val="00123C35"/>
    <w:rsid w:val="0015657E"/>
    <w:rsid w:val="00156CF8"/>
    <w:rsid w:val="00161879"/>
    <w:rsid w:val="00162A08"/>
    <w:rsid w:val="00182C7E"/>
    <w:rsid w:val="001A3890"/>
    <w:rsid w:val="001A63F3"/>
    <w:rsid w:val="001B175B"/>
    <w:rsid w:val="001B54B7"/>
    <w:rsid w:val="001B6C62"/>
    <w:rsid w:val="001C6870"/>
    <w:rsid w:val="001E3130"/>
    <w:rsid w:val="001E7146"/>
    <w:rsid w:val="001E75C9"/>
    <w:rsid w:val="001F14F4"/>
    <w:rsid w:val="001F351F"/>
    <w:rsid w:val="00216078"/>
    <w:rsid w:val="00225112"/>
    <w:rsid w:val="0023693C"/>
    <w:rsid w:val="0025616C"/>
    <w:rsid w:val="00280BC6"/>
    <w:rsid w:val="002B0240"/>
    <w:rsid w:val="002C498E"/>
    <w:rsid w:val="002C5677"/>
    <w:rsid w:val="002C613D"/>
    <w:rsid w:val="002D1B8F"/>
    <w:rsid w:val="002D2E38"/>
    <w:rsid w:val="002D3207"/>
    <w:rsid w:val="00302874"/>
    <w:rsid w:val="0031286D"/>
    <w:rsid w:val="003148D1"/>
    <w:rsid w:val="00316A7C"/>
    <w:rsid w:val="00335D5F"/>
    <w:rsid w:val="0033646E"/>
    <w:rsid w:val="00341C12"/>
    <w:rsid w:val="00343D74"/>
    <w:rsid w:val="00345212"/>
    <w:rsid w:val="003649CB"/>
    <w:rsid w:val="0037080E"/>
    <w:rsid w:val="00375FC2"/>
    <w:rsid w:val="00376440"/>
    <w:rsid w:val="00384048"/>
    <w:rsid w:val="003946D7"/>
    <w:rsid w:val="00397A53"/>
    <w:rsid w:val="003A49E3"/>
    <w:rsid w:val="003C04B8"/>
    <w:rsid w:val="003E1C97"/>
    <w:rsid w:val="003F5F4A"/>
    <w:rsid w:val="003F64F9"/>
    <w:rsid w:val="00406AB3"/>
    <w:rsid w:val="00410A90"/>
    <w:rsid w:val="00417F7B"/>
    <w:rsid w:val="0042148E"/>
    <w:rsid w:val="004420D2"/>
    <w:rsid w:val="004571DE"/>
    <w:rsid w:val="00460A32"/>
    <w:rsid w:val="00462C90"/>
    <w:rsid w:val="00477B2D"/>
    <w:rsid w:val="004879C3"/>
    <w:rsid w:val="00491BF9"/>
    <w:rsid w:val="004B2CC9"/>
    <w:rsid w:val="004B3AA5"/>
    <w:rsid w:val="004B4CD1"/>
    <w:rsid w:val="004C5B49"/>
    <w:rsid w:val="004C7649"/>
    <w:rsid w:val="004D4645"/>
    <w:rsid w:val="004F0745"/>
    <w:rsid w:val="004F7465"/>
    <w:rsid w:val="005127A2"/>
    <w:rsid w:val="0051286F"/>
    <w:rsid w:val="005328FB"/>
    <w:rsid w:val="00555590"/>
    <w:rsid w:val="00557CA5"/>
    <w:rsid w:val="00597DE3"/>
    <w:rsid w:val="005A2C2A"/>
    <w:rsid w:val="005B025B"/>
    <w:rsid w:val="005B1E8A"/>
    <w:rsid w:val="005F0564"/>
    <w:rsid w:val="005F5ECA"/>
    <w:rsid w:val="006014CF"/>
    <w:rsid w:val="00601B0A"/>
    <w:rsid w:val="006062DA"/>
    <w:rsid w:val="00613BC8"/>
    <w:rsid w:val="006249FE"/>
    <w:rsid w:val="00626437"/>
    <w:rsid w:val="006324DE"/>
    <w:rsid w:val="00632FA0"/>
    <w:rsid w:val="00641167"/>
    <w:rsid w:val="00645359"/>
    <w:rsid w:val="0064652D"/>
    <w:rsid w:val="006538CA"/>
    <w:rsid w:val="0065558A"/>
    <w:rsid w:val="006600FE"/>
    <w:rsid w:val="00676135"/>
    <w:rsid w:val="00683C06"/>
    <w:rsid w:val="00684401"/>
    <w:rsid w:val="006C41A4"/>
    <w:rsid w:val="006C5F39"/>
    <w:rsid w:val="006D0D53"/>
    <w:rsid w:val="006D1E9A"/>
    <w:rsid w:val="006D5924"/>
    <w:rsid w:val="006E0631"/>
    <w:rsid w:val="006E1ABA"/>
    <w:rsid w:val="006F2C7A"/>
    <w:rsid w:val="006F7994"/>
    <w:rsid w:val="007032FD"/>
    <w:rsid w:val="00706281"/>
    <w:rsid w:val="00714716"/>
    <w:rsid w:val="00734BFA"/>
    <w:rsid w:val="00735E61"/>
    <w:rsid w:val="00741B76"/>
    <w:rsid w:val="00742C38"/>
    <w:rsid w:val="00744110"/>
    <w:rsid w:val="00745FD8"/>
    <w:rsid w:val="00773E7D"/>
    <w:rsid w:val="00777FC4"/>
    <w:rsid w:val="00783734"/>
    <w:rsid w:val="007913A6"/>
    <w:rsid w:val="00791CFE"/>
    <w:rsid w:val="00796AD1"/>
    <w:rsid w:val="00797E00"/>
    <w:rsid w:val="007B179A"/>
    <w:rsid w:val="007C1B3D"/>
    <w:rsid w:val="007C55D9"/>
    <w:rsid w:val="007C7D4B"/>
    <w:rsid w:val="007D26B9"/>
    <w:rsid w:val="007D3402"/>
    <w:rsid w:val="007E7212"/>
    <w:rsid w:val="00817A62"/>
    <w:rsid w:val="00820E79"/>
    <w:rsid w:val="008211AF"/>
    <w:rsid w:val="00822396"/>
    <w:rsid w:val="00826E51"/>
    <w:rsid w:val="008327B2"/>
    <w:rsid w:val="0084685A"/>
    <w:rsid w:val="008734B8"/>
    <w:rsid w:val="0087569A"/>
    <w:rsid w:val="0088040B"/>
    <w:rsid w:val="00882E80"/>
    <w:rsid w:val="00884145"/>
    <w:rsid w:val="00891346"/>
    <w:rsid w:val="00893A53"/>
    <w:rsid w:val="008B0CD3"/>
    <w:rsid w:val="008B3A86"/>
    <w:rsid w:val="008C0EA8"/>
    <w:rsid w:val="008D2030"/>
    <w:rsid w:val="008D708A"/>
    <w:rsid w:val="008D7C69"/>
    <w:rsid w:val="008E2082"/>
    <w:rsid w:val="00903792"/>
    <w:rsid w:val="0090502E"/>
    <w:rsid w:val="00927722"/>
    <w:rsid w:val="00933644"/>
    <w:rsid w:val="00941A3D"/>
    <w:rsid w:val="00951E53"/>
    <w:rsid w:val="0096157A"/>
    <w:rsid w:val="009813C0"/>
    <w:rsid w:val="00981DB4"/>
    <w:rsid w:val="00991AB8"/>
    <w:rsid w:val="009A310D"/>
    <w:rsid w:val="009A5F29"/>
    <w:rsid w:val="009A7950"/>
    <w:rsid w:val="009C4C25"/>
    <w:rsid w:val="009E6003"/>
    <w:rsid w:val="00A02444"/>
    <w:rsid w:val="00A03E63"/>
    <w:rsid w:val="00A06CF2"/>
    <w:rsid w:val="00A16E48"/>
    <w:rsid w:val="00A2268D"/>
    <w:rsid w:val="00A244CC"/>
    <w:rsid w:val="00A34C65"/>
    <w:rsid w:val="00A35FB3"/>
    <w:rsid w:val="00A42A09"/>
    <w:rsid w:val="00A45B1E"/>
    <w:rsid w:val="00A462F5"/>
    <w:rsid w:val="00A53F4D"/>
    <w:rsid w:val="00A54975"/>
    <w:rsid w:val="00A643E4"/>
    <w:rsid w:val="00A675F2"/>
    <w:rsid w:val="00A74A06"/>
    <w:rsid w:val="00A8676E"/>
    <w:rsid w:val="00AB7512"/>
    <w:rsid w:val="00AC5D22"/>
    <w:rsid w:val="00AD2D73"/>
    <w:rsid w:val="00AD50A7"/>
    <w:rsid w:val="00AE6AEE"/>
    <w:rsid w:val="00B029CA"/>
    <w:rsid w:val="00B04C54"/>
    <w:rsid w:val="00B137D8"/>
    <w:rsid w:val="00B43144"/>
    <w:rsid w:val="00B439A6"/>
    <w:rsid w:val="00B522A8"/>
    <w:rsid w:val="00B71251"/>
    <w:rsid w:val="00B726A9"/>
    <w:rsid w:val="00B804BD"/>
    <w:rsid w:val="00B90C42"/>
    <w:rsid w:val="00B9222B"/>
    <w:rsid w:val="00BB069C"/>
    <w:rsid w:val="00BC0C2E"/>
    <w:rsid w:val="00BC2F09"/>
    <w:rsid w:val="00BD27EE"/>
    <w:rsid w:val="00BE0331"/>
    <w:rsid w:val="00BE73FD"/>
    <w:rsid w:val="00BF1941"/>
    <w:rsid w:val="00C00C1E"/>
    <w:rsid w:val="00C0700B"/>
    <w:rsid w:val="00C140E4"/>
    <w:rsid w:val="00C16ECC"/>
    <w:rsid w:val="00C31E27"/>
    <w:rsid w:val="00C36776"/>
    <w:rsid w:val="00C47100"/>
    <w:rsid w:val="00C636C4"/>
    <w:rsid w:val="00C674A9"/>
    <w:rsid w:val="00C6768B"/>
    <w:rsid w:val="00C81828"/>
    <w:rsid w:val="00CB7840"/>
    <w:rsid w:val="00CC28D7"/>
    <w:rsid w:val="00CD6B58"/>
    <w:rsid w:val="00CE1A38"/>
    <w:rsid w:val="00CE4911"/>
    <w:rsid w:val="00CF401E"/>
    <w:rsid w:val="00D1228D"/>
    <w:rsid w:val="00D157CC"/>
    <w:rsid w:val="00D2142B"/>
    <w:rsid w:val="00D267D2"/>
    <w:rsid w:val="00D34544"/>
    <w:rsid w:val="00D40B69"/>
    <w:rsid w:val="00D41FE8"/>
    <w:rsid w:val="00D4673E"/>
    <w:rsid w:val="00D56F44"/>
    <w:rsid w:val="00D578CC"/>
    <w:rsid w:val="00D60EBC"/>
    <w:rsid w:val="00D64B62"/>
    <w:rsid w:val="00D65686"/>
    <w:rsid w:val="00D75422"/>
    <w:rsid w:val="00D806B6"/>
    <w:rsid w:val="00D97F7E"/>
    <w:rsid w:val="00DB6A33"/>
    <w:rsid w:val="00DB7076"/>
    <w:rsid w:val="00DC18D3"/>
    <w:rsid w:val="00DC567F"/>
    <w:rsid w:val="00DC670A"/>
    <w:rsid w:val="00DD4652"/>
    <w:rsid w:val="00E037F1"/>
    <w:rsid w:val="00E13666"/>
    <w:rsid w:val="00E211B9"/>
    <w:rsid w:val="00E21BB2"/>
    <w:rsid w:val="00E2318C"/>
    <w:rsid w:val="00E2533A"/>
    <w:rsid w:val="00E37AC5"/>
    <w:rsid w:val="00E447A6"/>
    <w:rsid w:val="00E46F46"/>
    <w:rsid w:val="00E50B44"/>
    <w:rsid w:val="00E53A10"/>
    <w:rsid w:val="00E54D43"/>
    <w:rsid w:val="00E57AD3"/>
    <w:rsid w:val="00E72880"/>
    <w:rsid w:val="00E73D39"/>
    <w:rsid w:val="00E77602"/>
    <w:rsid w:val="00E84741"/>
    <w:rsid w:val="00E84F2E"/>
    <w:rsid w:val="00E85597"/>
    <w:rsid w:val="00EB1A25"/>
    <w:rsid w:val="00EC0DF9"/>
    <w:rsid w:val="00EC380B"/>
    <w:rsid w:val="00EC4E78"/>
    <w:rsid w:val="00EC6CD8"/>
    <w:rsid w:val="00ED4742"/>
    <w:rsid w:val="00ED5743"/>
    <w:rsid w:val="00ED7C0F"/>
    <w:rsid w:val="00EE3D93"/>
    <w:rsid w:val="00EF336A"/>
    <w:rsid w:val="00EF5B44"/>
    <w:rsid w:val="00EF74F2"/>
    <w:rsid w:val="00F0337C"/>
    <w:rsid w:val="00F05800"/>
    <w:rsid w:val="00F12AAD"/>
    <w:rsid w:val="00F26C9B"/>
    <w:rsid w:val="00F36500"/>
    <w:rsid w:val="00F47243"/>
    <w:rsid w:val="00F52180"/>
    <w:rsid w:val="00FA6EE9"/>
    <w:rsid w:val="00FC1FA5"/>
    <w:rsid w:val="00FC5C2C"/>
    <w:rsid w:val="00FC748C"/>
    <w:rsid w:val="00FE3182"/>
    <w:rsid w:val="00FE7DA9"/>
    <w:rsid w:val="00FF44E0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tif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1330</Words>
  <Characters>7187</Characters>
  <Application>Microsoft Office Word</Application>
  <DocSecurity>8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32</cp:revision>
  <cp:lastPrinted>2025-08-28T12:40:00Z</cp:lastPrinted>
  <dcterms:created xsi:type="dcterms:W3CDTF">2025-08-28T13:22:00Z</dcterms:created>
  <dcterms:modified xsi:type="dcterms:W3CDTF">2025-08-28T15:04:00Z</dcterms:modified>
</cp:coreProperties>
</file>