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0" w:line="276" w:lineRule="auto"/>
        <w:ind w:left="5811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“Proíbe o uso de coleiras de choque e coleiras ultrassônicas em animais no Município de Sumaré, e dá outras providências.”</w:t>
      </w:r>
    </w:p>
    <w:p w:rsidR="00000000" w:rsidRPr="00000000" w:rsidP="00000000" w14:paraId="00000007">
      <w:pPr>
        <w:spacing w:after="0" w:line="276" w:lineRule="auto"/>
        <w:ind w:left="5811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9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A">
      <w:pPr>
        <w:spacing w:before="240" w:after="24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B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proibido no Município de Sumaré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uso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coleiras com impulso eletrônico e de coleiras ultrassônicas em animais.</w:t>
      </w:r>
    </w:p>
    <w:p w:rsidR="00000000" w:rsidRPr="00000000" w:rsidP="00000000" w14:paraId="0000000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1º Para os efeitos desta Lei, consideram-se: </w:t>
      </w:r>
    </w:p>
    <w:p w:rsidR="00000000" w:rsidRPr="00000000" w:rsidP="00000000" w14:paraId="0000000D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Coleira com impulso eletrônico: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também conhecida como “coleira antilatido” "coleira de choque" ou "coleira eletrônica", é aquela utilizada em animais e que emite descarga elétrica. </w:t>
      </w:r>
    </w:p>
    <w:p w:rsidR="00000000" w:rsidRPr="00000000" w:rsidP="00000000" w14:paraId="0000000E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Coleira ultrassônica: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aquela utilizada em animais e que emite som de alta frequência incômodo a eles.</w:t>
      </w:r>
    </w:p>
    <w:p w:rsidR="00000000" w:rsidRPr="00000000" w:rsidP="00000000" w14:paraId="0000000F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2º Também será considerado infração à proibição disposta no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caput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deste artigo o uso de outros aparelhos que não sejam coleiras, mas cujo fim seja o de condicionar o comportamento do animal utilizando choques elétricos, queimaduras, sons incômodos ou outras formas de maus-tratos ao animal.</w:t>
      </w:r>
    </w:p>
    <w:p w:rsidR="00000000" w:rsidRPr="00000000" w:rsidP="00000000" w14:paraId="00000010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descumprimento ao disposto nesta Lei acarretará ao infrator, seja pessoa física ou jurídica, a imposição das seguintes sanções, que poderão ser aplicadas cumulativamente: </w:t>
      </w:r>
    </w:p>
    <w:p w:rsidR="00000000" w:rsidRPr="00000000" w:rsidP="00000000" w14:paraId="00000011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Multa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valor de 1.500 (mil e quinhentas) a 3.800 (três mil e oitocentas) Unidades Fiscais de Sumaré (UFS), a ser graduada de acordo com a gravidade da infração e a conduta do infrator. </w:t>
      </w:r>
    </w:p>
    <w:p w:rsidR="00000000" w:rsidRPr="00000000" w:rsidP="00000000" w14:paraId="0000001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Apreensão do produto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utilizado na infração.</w:t>
      </w:r>
    </w:p>
    <w:p w:rsidR="00000000" w:rsidRPr="00000000" w:rsidP="00000000" w14:paraId="00000013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A autuação pela infração será feita por meio de notificação, que conterá a descrição da infração, o valor da multa e o prazo de 15 (quinze) dias para a apresentação de defesa.</w:t>
      </w:r>
    </w:p>
    <w:p w:rsidR="00000000" w:rsidRPr="00000000" w:rsidP="00000000" w14:paraId="00000014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§ 2º A multa deverá ser paga em até 30 (trinta) dias após a decisão final que a confirme, por meio de guia de recolhimento emitida pelo órgão fiscalizador. </w:t>
      </w:r>
    </w:p>
    <w:p w:rsidR="00000000" w:rsidRPr="00000000" w:rsidP="00000000" w14:paraId="00000015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3º Em caso de não pagamento, a multa será inscrita na Dívida Ativa do Município. </w:t>
      </w:r>
    </w:p>
    <w:p w:rsidR="00000000" w:rsidRPr="00000000" w:rsidP="00000000" w14:paraId="00000016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4º O valor arrecadado com as multas aplicadas em decorrência desta Lei será destinado ao Fundo Municipal de Proteção e Bem-Estar Animal de Sumaré. </w:t>
      </w:r>
    </w:p>
    <w:p w:rsidR="00000000" w:rsidRPr="00000000" w:rsidP="00000000" w14:paraId="0000001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5º Em caso de reincidência, a multa será aplicada em dobro.</w:t>
      </w:r>
    </w:p>
    <w:p w:rsidR="00000000" w:rsidRPr="00000000" w:rsidP="00000000" w14:paraId="00000018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proibido ao Poder Público Municipal utilizar recursos públicos para o manejo de animais que envolva o uso de coleiras com impulso eletrônico ou ultrassônicas, bem como de qualquer outro aparelho com o mesmo fim e que cause maus-tratos, ficando a contratação de empresas ou entidades para esse fim condicionada à apresentação de declaração formal de que não utilizam os equipamentos vetados e de que seguem uma política de bons tratos aos animais.</w:t>
      </w:r>
    </w:p>
    <w:p w:rsidR="00000000" w:rsidRPr="00000000" w:rsidP="00000000" w14:paraId="00000019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fiscalização do cumprimento desta Lei e a aplicação das sanções ficarão a cargo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Secretaria de Proteção e Bem-Estar Animal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Polícia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em colaboração.</w:t>
      </w:r>
    </w:p>
    <w:p w:rsidR="00000000" w:rsidRPr="00000000" w:rsidP="00000000" w14:paraId="0000001A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Fica o Poder Executivo autorizado a firmar convênios de colaboração com entidades de proteção e bem-estar animal legalmente constituídas para auxiliar nas ações de fiscalização e conscientização.</w:t>
      </w:r>
    </w:p>
    <w:p w:rsidR="00000000" w:rsidRPr="00000000" w:rsidP="00000000" w14:paraId="0000001B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Executivo, em colaboração com organizações de proteção animal, poderá promover campanhas de conscientização sobre os métodos de adestramento e manejo animal que não utilizam a violência, bem como sobre os malefícios das coleiras com impulso eletrônico e ultrassônicas.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O poder executivo poderá regulamentar esta lei no que couber no prazo máximo de 90 (noventa) dias contados da data de sua publicação.</w:t>
      </w:r>
    </w:p>
    <w:p w:rsidR="00000000" w:rsidRPr="00000000" w:rsidP="00000000" w14:paraId="0000001D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próprias, suplementadas se necessário.</w:t>
      </w:r>
    </w:p>
    <w:p w:rsidR="00000000" w:rsidRPr="00000000" w:rsidP="00000000" w14:paraId="0000001E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F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27 de agosto de 2025</w:t>
      </w:r>
    </w:p>
    <w:p w:rsidR="00000000" w:rsidRPr="00000000" w:rsidP="00000000" w14:paraId="00000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jc w:val="both"/>
        <w:rPr>
          <w:color w:val="000000"/>
        </w:rPr>
      </w:pPr>
    </w:p>
    <w:p w:rsidR="00000000" w:rsidRPr="00000000" w:rsidP="00000000" w14:paraId="00000024">
      <w:pPr>
        <w:jc w:val="center"/>
      </w:pPr>
      <w:r w:rsidRPr="00000000">
        <w:br w:type="page"/>
      </w:r>
    </w:p>
    <w:p w:rsidR="00000000" w:rsidRPr="00000000" w:rsidP="00000000" w14:paraId="00000025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A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presente proposta tem como objetivo proteger os animais de práticas cruéis e desnecessárias. Coleiras de choque e ultrassônicas, embora comercializadas como ferramentas de adestramento, funcionam com base na dor, no medo e no desconforto, causando sofrimento físico e psicológico aos animais. </w:t>
      </w:r>
    </w:p>
    <w:p w:rsidR="00000000" w:rsidRPr="00000000" w:rsidP="00000000" w14:paraId="0000002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40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propositura busca combater diretamente a prática de maus-tratos, e nosso objetivo principal é garantir que, dentro dos limites de Sumaré, nossos animais de estimação sejam tratados com dignidade e respeito. A aplicação de multas e a apreensão dos equipamentos reforçam o compromisso da cidade com a proteção animal, desincentivando o uso dessas ferramentas danosas e atos de maus tratos.</w:t>
      </w:r>
    </w:p>
    <w:p w:rsidR="00000000" w:rsidRPr="00000000" w:rsidP="00000000" w14:paraId="0000002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40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40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40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40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40" w:lineRule="auto"/>
        <w:ind w:left="0" w:right="0" w:firstLine="720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janeiro de 2025</w:t>
      </w:r>
    </w:p>
    <w:p w:rsidR="00000000" w:rsidRPr="00000000" w:rsidP="00000000" w14:paraId="00000031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2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33764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162119820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1818124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16056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3">
    <w:r w:rsidRPr="00000000">
      <w:drawing>
        <wp:inline distT="0" distB="0" distL="0" distR="0">
          <wp:extent cx="1526058" cy="534121"/>
          <wp:effectExtent l="0" t="0" r="0" b="0"/>
          <wp:docPr id="162119820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47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14368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260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 Normal"/>
    <w:tblPr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2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RvlrOS79HcBIidOJoAVDXWM9Q==">CgMxLjAyCWguM3pueXNoNzgAciExZGxyMEVFQndGOFJXaXhoSjZNZUY4R3RpeHViM3F1WHY=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