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3E34" w:rsidRPr="009C0505" w:rsidP="000B3E34" w14:paraId="0717D27D" w14:textId="77777777">
      <w:pPr>
        <w:rPr>
          <w:rFonts w:ascii="Arial" w:hAnsi="Arial" w:cs="Arial"/>
          <w:sz w:val="28"/>
          <w:szCs w:val="28"/>
        </w:rPr>
      </w:pPr>
    </w:p>
    <w:p w:rsidR="000B3E34" w:rsidRPr="009C0505" w:rsidP="000B3E34" w14:paraId="37F2BD75" w14:textId="77777777">
      <w:pPr>
        <w:jc w:val="right"/>
        <w:rPr>
          <w:rFonts w:ascii="Arial" w:hAnsi="Arial" w:cs="Arial"/>
          <w:sz w:val="28"/>
          <w:szCs w:val="28"/>
        </w:rPr>
      </w:pPr>
      <w:r w:rsidRPr="009C0505">
        <w:rPr>
          <w:rFonts w:ascii="Arial" w:hAnsi="Arial" w:cs="Arial"/>
          <w:sz w:val="28"/>
          <w:szCs w:val="28"/>
        </w:rPr>
        <w:t>Projeto de Lei nº _____/2025</w:t>
      </w:r>
    </w:p>
    <w:p w:rsidR="009C0505" w:rsidRPr="009C0505" w:rsidP="009C0505" w14:paraId="71FE3558" w14:textId="7777777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</w:p>
    <w:p w:rsidR="009C0505" w:rsidRPr="00837D86" w:rsidP="009C0505" w14:paraId="0669DFDF" w14:textId="557C773B">
      <w:pPr>
        <w:shd w:val="clear" w:color="auto" w:fill="FFFFFF"/>
        <w:spacing w:after="100" w:afterAutospacing="1" w:line="240" w:lineRule="auto"/>
        <w:ind w:left="2124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Institui a Campanha</w:t>
      </w: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 Municipal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 de Conscientização sobre a Neuralgia do Trigêmeo e dá outras providências.</w:t>
      </w:r>
    </w:p>
    <w:p w:rsidR="009C0505" w:rsidRPr="009C0505" w:rsidP="009C0505" w14:paraId="77069D43" w14:textId="7777777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</w:p>
    <w:p w:rsidR="009C0505" w:rsidRPr="009C0505" w:rsidP="009C0505" w14:paraId="461F4FEF" w14:textId="75B3C3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191D27"/>
          <w:kern w:val="0"/>
          <w:sz w:val="28"/>
          <w:szCs w:val="28"/>
          <w:lang w:eastAsia="pt-BR"/>
          <w14:ligatures w14:val="none"/>
        </w:rPr>
      </w:pPr>
      <w:r w:rsidRPr="009C0505">
        <w:rPr>
          <w:rFonts w:ascii="Arial" w:eastAsia="Times New Roman" w:hAnsi="Arial" w:cs="Arial"/>
          <w:b/>
          <w:bCs/>
          <w:color w:val="191D27"/>
          <w:kern w:val="0"/>
          <w:sz w:val="28"/>
          <w:szCs w:val="28"/>
          <w:lang w:eastAsia="pt-BR"/>
          <w14:ligatures w14:val="none"/>
        </w:rPr>
        <w:t>O PREFEITO DO MUNICÍPIO DE SUMARÉ</w:t>
      </w:r>
    </w:p>
    <w:p w:rsidR="009C0505" w:rsidRPr="009C0505" w:rsidP="009C0505" w14:paraId="51E9B513" w14:textId="7777777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</w:p>
    <w:p w:rsidR="009C0505" w:rsidRPr="009C0505" w:rsidP="009C0505" w14:paraId="542E0EAA" w14:textId="21F53341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Faço saber que a Câmara Municipal aprovou e eu sanciono a presente Lei:</w:t>
      </w:r>
    </w:p>
    <w:p w:rsidR="009C0505" w:rsidRPr="00837D86" w:rsidP="009C0505" w14:paraId="64D8A3F2" w14:textId="3C51B8A8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Art. 1º – Fica instituída a Semana </w:t>
      </w: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Municipal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 de Conscientização sobre a Neuralgia do Trigêmeo, a ser celebrada anualmente, na semana que incluir o dia 7 de outubro, já instituído como Dia Internacional de Conscientização sobre a Neuralgia do Trigêmeo.</w:t>
      </w:r>
    </w:p>
    <w:p w:rsidR="009C0505" w:rsidRPr="00837D86" w:rsidP="009C0505" w14:paraId="661666E2" w14:textId="283F1EC7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Art. 2º – A Semana </w:t>
      </w: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Municipal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 de Conscientização sobre a Neuralgia do Trigêmeo terá como diretrizes as seguintes ações:</w:t>
      </w:r>
    </w:p>
    <w:p w:rsidR="009C0505" w:rsidRPr="00837D86" w:rsidP="009C0505" w14:paraId="0475E27E" w14:textId="77777777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I – Informar e conscientizar a população sobre os sintomas, diagnóstico e tratamento da Neuralgia do Trigêmeo;</w:t>
      </w:r>
    </w:p>
    <w:p w:rsidR="009C0505" w:rsidRPr="00837D86" w:rsidP="009C0505" w14:paraId="397EAEF3" w14:textId="77777777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II – Combater o preconceito e promover a empatia em relação às pessoas acometidas por essa condição;</w:t>
      </w:r>
    </w:p>
    <w:p w:rsidR="009C0505" w:rsidRPr="00837D86" w:rsidP="009C0505" w14:paraId="4C0A7C70" w14:textId="673BF4B1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III – Fomentar ações educativas, palestras, eventos de saúde, rodas de conversa, depoimentos e campanhas em </w:t>
      </w: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toda rede municipal de saúde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;</w:t>
      </w:r>
    </w:p>
    <w:p w:rsidR="009C0505" w:rsidRPr="00837D86" w:rsidP="009C0505" w14:paraId="4954BE90" w14:textId="77777777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IV – Promover a integração entre pacientes, profissionais da saúde e a sociedade, por meio de interações educativas e de apoio.</w:t>
      </w:r>
    </w:p>
    <w:p w:rsidR="009C0505" w:rsidRPr="00837D86" w:rsidP="009C0505" w14:paraId="531F670A" w14:textId="7DDC0D9D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Art. 3º – Durante a Semana </w:t>
      </w: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Municipal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 de Conscientização sobre a Neuralgia do Trigêmeo, o Poder Executivo poderá firmar parcerias com 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instituições públicas e privadas, profissionais voluntários e entidades da sociedade civil, especialmente com a Associação Neuralgia do Trigêmeo Brasil (ANTBR) e outras organizações que apoiam a causa.</w:t>
      </w:r>
    </w:p>
    <w:p w:rsidR="009C0505" w:rsidRPr="009C0505" w:rsidP="009C0505" w14:paraId="76C0C478" w14:textId="6F2AF0A5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Art. 4º – As unidades públicas de saúde do </w:t>
      </w:r>
      <w:r w:rsidRPr="009C0505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>município</w:t>
      </w:r>
      <w:r w:rsidRPr="00837D86"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  <w:t xml:space="preserve"> deverão promover, no âmbito de suas competências, ações de conscientização e capacitação de profissionais de saúde sobre a Neuralgia do Trigêmeo, priorizando a identificação precoce e o tratamento adequado da doença.</w:t>
      </w:r>
    </w:p>
    <w:p w:rsidR="009C0505" w:rsidRPr="009C0505" w:rsidP="009C0505" w14:paraId="7A84F4ED" w14:textId="77777777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C0505">
        <w:rPr>
          <w:rFonts w:ascii="Arial" w:hAnsi="Arial" w:cs="Arial"/>
          <w:sz w:val="28"/>
          <w:szCs w:val="28"/>
        </w:rPr>
        <w:t xml:space="preserve">Art. </w:t>
      </w:r>
      <w:r w:rsidRPr="009C0505">
        <w:rPr>
          <w:rFonts w:ascii="Arial" w:hAnsi="Arial" w:cs="Arial"/>
          <w:sz w:val="28"/>
          <w:szCs w:val="28"/>
        </w:rPr>
        <w:t>5</w:t>
      </w:r>
      <w:r w:rsidRPr="009C0505">
        <w:rPr>
          <w:rFonts w:ascii="Arial" w:hAnsi="Arial" w:cs="Arial"/>
          <w:sz w:val="28"/>
          <w:szCs w:val="28"/>
        </w:rPr>
        <w:t xml:space="preserve">° O Poder Executivo expedirá os regulamentos necessários para a fiel execução desta lei. </w:t>
      </w:r>
    </w:p>
    <w:p w:rsidR="009C0505" w:rsidRPr="009C0505" w:rsidP="009C0505" w14:paraId="3F1C42E9" w14:textId="77777777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C0505">
        <w:rPr>
          <w:rFonts w:ascii="Arial" w:hAnsi="Arial" w:cs="Arial"/>
          <w:sz w:val="28"/>
          <w:szCs w:val="28"/>
        </w:rPr>
        <w:t xml:space="preserve">Art. </w:t>
      </w:r>
      <w:r w:rsidRPr="009C0505">
        <w:rPr>
          <w:rFonts w:ascii="Arial" w:hAnsi="Arial" w:cs="Arial"/>
          <w:sz w:val="28"/>
          <w:szCs w:val="28"/>
        </w:rPr>
        <w:t>6</w:t>
      </w:r>
      <w:r w:rsidRPr="009C0505">
        <w:rPr>
          <w:rFonts w:ascii="Arial" w:hAnsi="Arial" w:cs="Arial"/>
          <w:sz w:val="28"/>
          <w:szCs w:val="28"/>
        </w:rPr>
        <w:t xml:space="preserve">° As despesas decorrentes da execução desta Lei correrão por conta dotações orçamentárias próprias, suplementadas, se necessário. </w:t>
      </w:r>
    </w:p>
    <w:p w:rsidR="009C0505" w:rsidRPr="00837D86" w:rsidP="009C0505" w14:paraId="19F68579" w14:textId="3A5EAE03">
      <w:pPr>
        <w:shd w:val="clear" w:color="auto" w:fill="FFFFFF"/>
        <w:spacing w:after="100" w:afterAutospacing="1" w:line="240" w:lineRule="auto"/>
        <w:ind w:firstLine="1418"/>
        <w:jc w:val="both"/>
        <w:rPr>
          <w:rFonts w:ascii="Arial" w:eastAsia="Times New Roman" w:hAnsi="Arial" w:cs="Arial"/>
          <w:color w:val="191D27"/>
          <w:kern w:val="0"/>
          <w:sz w:val="28"/>
          <w:szCs w:val="28"/>
          <w:lang w:eastAsia="pt-BR"/>
          <w14:ligatures w14:val="none"/>
        </w:rPr>
      </w:pPr>
      <w:r w:rsidRPr="009C0505">
        <w:rPr>
          <w:rFonts w:ascii="Arial" w:hAnsi="Arial" w:cs="Arial"/>
          <w:sz w:val="28"/>
          <w:szCs w:val="28"/>
        </w:rPr>
        <w:t xml:space="preserve">Art. </w:t>
      </w:r>
      <w:r w:rsidRPr="009C0505">
        <w:rPr>
          <w:rFonts w:ascii="Arial" w:hAnsi="Arial" w:cs="Arial"/>
          <w:sz w:val="28"/>
          <w:szCs w:val="28"/>
        </w:rPr>
        <w:t>7</w:t>
      </w:r>
      <w:r w:rsidRPr="009C0505">
        <w:rPr>
          <w:rFonts w:ascii="Arial" w:hAnsi="Arial" w:cs="Arial"/>
          <w:sz w:val="28"/>
          <w:szCs w:val="28"/>
        </w:rPr>
        <w:t xml:space="preserve">º Esta Lei entra em vigor na data de sua publicação. </w:t>
      </w:r>
    </w:p>
    <w:p w:rsidR="009C0505" w:rsidRPr="009C0505" w:rsidP="009C0505" w14:paraId="1C54AEB2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66A3C87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1E765DE4" w14:textId="6D6C8A82">
      <w:pPr>
        <w:jc w:val="center"/>
        <w:rPr>
          <w:rFonts w:ascii="Arial" w:hAnsi="Arial" w:cs="Arial"/>
          <w:sz w:val="28"/>
          <w:szCs w:val="28"/>
        </w:rPr>
      </w:pPr>
      <w:r w:rsidRPr="009C050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220129</wp:posOffset>
            </wp:positionV>
            <wp:extent cx="2334895" cy="737870"/>
            <wp:effectExtent l="0" t="0" r="8255" b="5080"/>
            <wp:wrapNone/>
            <wp:docPr id="1017774713" name="Imagem 1017774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928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505">
        <w:rPr>
          <w:rFonts w:ascii="Arial" w:hAnsi="Arial" w:cs="Arial"/>
          <w:sz w:val="28"/>
          <w:szCs w:val="28"/>
        </w:rPr>
        <w:t xml:space="preserve">Sala das </w:t>
      </w:r>
      <w:r>
        <w:rPr>
          <w:rFonts w:ascii="Arial" w:hAnsi="Arial" w:cs="Arial"/>
          <w:sz w:val="28"/>
          <w:szCs w:val="28"/>
        </w:rPr>
        <w:t>S</w:t>
      </w:r>
      <w:r w:rsidRPr="009C0505">
        <w:rPr>
          <w:rFonts w:ascii="Arial" w:hAnsi="Arial" w:cs="Arial"/>
          <w:sz w:val="28"/>
          <w:szCs w:val="28"/>
        </w:rPr>
        <w:t xml:space="preserve">essões, </w:t>
      </w:r>
      <w:r w:rsidRPr="009C0505">
        <w:rPr>
          <w:rFonts w:ascii="Arial" w:hAnsi="Arial" w:cs="Arial"/>
          <w:sz w:val="28"/>
          <w:szCs w:val="28"/>
        </w:rPr>
        <w:t>26</w:t>
      </w:r>
      <w:r w:rsidRPr="009C0505">
        <w:rPr>
          <w:rFonts w:ascii="Arial" w:hAnsi="Arial" w:cs="Arial"/>
          <w:sz w:val="28"/>
          <w:szCs w:val="28"/>
        </w:rPr>
        <w:t xml:space="preserve"> de </w:t>
      </w:r>
      <w:r w:rsidRPr="009C0505">
        <w:rPr>
          <w:rFonts w:ascii="Arial" w:hAnsi="Arial" w:cs="Arial"/>
          <w:sz w:val="28"/>
          <w:szCs w:val="28"/>
        </w:rPr>
        <w:t>Agosto</w:t>
      </w:r>
      <w:r w:rsidRPr="009C0505">
        <w:rPr>
          <w:rFonts w:ascii="Arial" w:hAnsi="Arial" w:cs="Arial"/>
          <w:sz w:val="28"/>
          <w:szCs w:val="28"/>
        </w:rPr>
        <w:t xml:space="preserve"> de 2.025</w:t>
      </w:r>
    </w:p>
    <w:p w:rsidR="009C0505" w:rsidRPr="009C0505" w:rsidP="009C0505" w14:paraId="3DFCB491" w14:textId="77777777">
      <w:pPr>
        <w:spacing w:before="240" w:after="240"/>
        <w:ind w:right="-1"/>
        <w:jc w:val="center"/>
        <w:rPr>
          <w:rFonts w:ascii="Arial" w:hAnsi="Arial" w:cs="Arial"/>
          <w:b/>
          <w:bCs/>
          <w:sz w:val="28"/>
          <w:szCs w:val="28"/>
        </w:rPr>
      </w:pPr>
    </w:p>
    <w:p w:rsidR="009C0505" w:rsidRPr="009C0505" w:rsidP="009C0505" w14:paraId="22A7F61F" w14:textId="66F00446">
      <w:pPr>
        <w:spacing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9C0505">
        <w:rPr>
          <w:rFonts w:ascii="Arial" w:hAnsi="Arial" w:cs="Arial"/>
          <w:b/>
          <w:bCs/>
          <w:sz w:val="28"/>
          <w:szCs w:val="28"/>
        </w:rPr>
        <w:t>SEBASTIÃO ALVES CORREA</w:t>
      </w:r>
    </w:p>
    <w:p w:rsidR="009C0505" w:rsidRPr="009C0505" w:rsidP="009C0505" w14:paraId="2099B5C4" w14:textId="77777777">
      <w:pPr>
        <w:spacing w:after="8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C0505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</w:p>
    <w:p w:rsidR="009C0505" w:rsidRPr="009C0505" w:rsidP="009C0505" w14:paraId="3B32ED70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40C688A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761F08F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7B7F926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4F2C1636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2C4FD934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059C425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9C0505" w:rsidP="009C0505" w14:paraId="588572A3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9C0505" w:rsidRPr="00A0744C" w:rsidP="009C0505" w14:paraId="34C5EA7D" w14:textId="4E55559E">
      <w:pPr>
        <w:jc w:val="center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b/>
          <w:bCs/>
          <w:sz w:val="22"/>
          <w:szCs w:val="22"/>
        </w:rPr>
        <w:t>JUSTIFICATIVА</w:t>
      </w:r>
    </w:p>
    <w:p w:rsidR="009C0505" w:rsidRPr="00A0744C" w:rsidP="009C0505" w14:paraId="4F6ABABA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 xml:space="preserve">A Neuralgia do Trigêmeo é uma condição médica extremamente debilitante, caracterizada por dores intensas no rosto que podem ser desencadeadas por atividades cotidianas simples, como falar, mastigar ou mesmo tocar levemente a pele. </w:t>
      </w:r>
    </w:p>
    <w:p w:rsidR="009C0505" w:rsidRPr="00A0744C" w:rsidP="009C0505" w14:paraId="27EF874F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 xml:space="preserve">Essa dor insuportável é muitas vezes comparada a </w:t>
      </w:r>
      <w:r w:rsidRPr="00A0744C">
        <w:rPr>
          <w:rFonts w:ascii="Arial" w:hAnsi="Arial" w:cs="Arial"/>
          <w:b/>
          <w:bCs/>
          <w:sz w:val="22"/>
          <w:szCs w:val="22"/>
        </w:rPr>
        <w:t>choques elétricos</w:t>
      </w:r>
      <w:r w:rsidRPr="00A0744C">
        <w:rPr>
          <w:rFonts w:ascii="Arial" w:hAnsi="Arial" w:cs="Arial"/>
          <w:sz w:val="22"/>
          <w:szCs w:val="22"/>
        </w:rPr>
        <w:t>, o que causa um impacto significativo na qualidade de vida dos pacientes, com consequências graves a sua saúde f</w:t>
      </w:r>
      <w:r w:rsidRPr="00A0744C">
        <w:rPr>
          <w:rFonts w:ascii="Arial" w:hAnsi="Arial" w:cs="Arial"/>
          <w:sz w:val="22"/>
          <w:szCs w:val="22"/>
        </w:rPr>
        <w:t>í</w:t>
      </w:r>
      <w:r w:rsidRPr="00A0744C">
        <w:rPr>
          <w:rFonts w:ascii="Arial" w:hAnsi="Arial" w:cs="Arial"/>
          <w:sz w:val="22"/>
          <w:szCs w:val="22"/>
        </w:rPr>
        <w:t xml:space="preserve">sica e emocional. </w:t>
      </w:r>
    </w:p>
    <w:p w:rsidR="00A0744C" w:rsidRPr="00A0744C" w:rsidP="00A0744C" w14:paraId="5C752196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i/>
          <w:iCs/>
          <w:sz w:val="22"/>
          <w:szCs w:val="22"/>
        </w:rPr>
        <w:t>"Como todas as outras dores neuropáticas, a neuralgia tem como característica a intensidade elevada e extremamente incapacitante da dor, tornando-se reconhecidamente como</w:t>
      </w:r>
      <w:r w:rsidRPr="00A0744C">
        <w:rPr>
          <w:rFonts w:ascii="Arial" w:hAnsi="Arial" w:cs="Arial"/>
          <w:b/>
          <w:bCs/>
          <w:i/>
          <w:iCs/>
          <w:sz w:val="22"/>
          <w:szCs w:val="22"/>
        </w:rPr>
        <w:t xml:space="preserve"> uma das piores do corpo humano</w:t>
      </w:r>
      <w:r w:rsidRPr="00A0744C">
        <w:rPr>
          <w:rFonts w:ascii="Arial" w:hAnsi="Arial" w:cs="Arial"/>
          <w:i/>
          <w:iCs/>
          <w:sz w:val="22"/>
          <w:szCs w:val="22"/>
        </w:rPr>
        <w:t xml:space="preserve">. Ela causa incapacidade extrema, distúrbios psiquiátricos e até mesmo </w:t>
      </w:r>
      <w:r w:rsidRPr="00A0744C">
        <w:rPr>
          <w:rFonts w:ascii="Arial" w:hAnsi="Arial" w:cs="Arial"/>
          <w:b/>
          <w:bCs/>
          <w:i/>
          <w:iCs/>
          <w:sz w:val="22"/>
          <w:szCs w:val="22"/>
        </w:rPr>
        <w:t>leva ao suicídio</w:t>
      </w:r>
      <w:r w:rsidRPr="00A0744C">
        <w:rPr>
          <w:rFonts w:ascii="Arial" w:hAnsi="Arial" w:cs="Arial"/>
          <w:i/>
          <w:iCs/>
          <w:sz w:val="22"/>
          <w:szCs w:val="22"/>
        </w:rPr>
        <w:t>"</w:t>
      </w:r>
      <w:r w:rsidRPr="00A0744C">
        <w:rPr>
          <w:rFonts w:ascii="Arial" w:hAnsi="Arial" w:cs="Arial"/>
          <w:sz w:val="22"/>
          <w:szCs w:val="22"/>
        </w:rPr>
        <w:t xml:space="preserve">, diz o neurocirurgião Gleidson Campos Rodrigues, do Hospital São Francisco, de Mogi Guaçu </w:t>
      </w:r>
    </w:p>
    <w:p w:rsidR="00A0744C" w:rsidRPr="00A0744C" w:rsidP="009C0505" w14:paraId="68923AD4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 xml:space="preserve">Diante desse cenário, torna-se imprescindível a implementação de medidas que visem aumentar a conscientização sobre a Neuralgia do Trigêmeo, bem como permitir acesso à direitos que possam garantir bem-estar dos cidadãos. </w:t>
      </w:r>
    </w:p>
    <w:p w:rsidR="00A0744C" w:rsidRPr="00A0744C" w:rsidP="009C0505" w14:paraId="61E4C9A6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 xml:space="preserve">A criação de uma política </w:t>
      </w:r>
      <w:r w:rsidRPr="00A0744C">
        <w:rPr>
          <w:rFonts w:ascii="Arial" w:hAnsi="Arial" w:cs="Arial"/>
          <w:sz w:val="22"/>
          <w:szCs w:val="22"/>
        </w:rPr>
        <w:t>municipal</w:t>
      </w:r>
      <w:r w:rsidRPr="00A0744C">
        <w:rPr>
          <w:rFonts w:ascii="Arial" w:hAnsi="Arial" w:cs="Arial"/>
          <w:sz w:val="22"/>
          <w:szCs w:val="22"/>
        </w:rPr>
        <w:t xml:space="preserve"> específica para essa finalidade é fundamental para fornecer informações precisas e acessíveis sobre a doença, seus sintomas, causas e opções de tratamento disponíveis </w:t>
      </w:r>
    </w:p>
    <w:p w:rsidR="00A0744C" w:rsidRPr="00A0744C" w:rsidP="009C0505" w14:paraId="2273916A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>No dia 7 de outubro, é celebrado o Dia Mundial de Conscientização sobre a Neuralgia do Trigêmeo, uma data importante para aumentar a visibilidade e</w:t>
      </w:r>
      <w:r w:rsidRPr="00A0744C">
        <w:rPr>
          <w:rFonts w:ascii="Arial" w:hAnsi="Arial" w:cs="Arial"/>
          <w:sz w:val="22"/>
          <w:szCs w:val="22"/>
        </w:rPr>
        <w:t xml:space="preserve"> </w:t>
      </w:r>
      <w:r w:rsidRPr="00A0744C">
        <w:rPr>
          <w:rFonts w:ascii="Arial" w:hAnsi="Arial" w:cs="Arial"/>
          <w:sz w:val="22"/>
          <w:szCs w:val="22"/>
        </w:rPr>
        <w:t xml:space="preserve">o entendimento sobre essa condição. </w:t>
      </w:r>
    </w:p>
    <w:p w:rsidR="00A0744C" w:rsidRPr="00A0744C" w:rsidP="009C0505" w14:paraId="2C34938C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 xml:space="preserve">Nesse contexto, é fundamental que </w:t>
      </w:r>
      <w:r w:rsidRPr="00A0744C">
        <w:rPr>
          <w:rFonts w:ascii="Arial" w:hAnsi="Arial" w:cs="Arial"/>
          <w:sz w:val="22"/>
          <w:szCs w:val="22"/>
        </w:rPr>
        <w:t>Sumaré</w:t>
      </w:r>
      <w:r w:rsidRPr="00A0744C">
        <w:rPr>
          <w:rFonts w:ascii="Arial" w:hAnsi="Arial" w:cs="Arial"/>
          <w:sz w:val="22"/>
          <w:szCs w:val="22"/>
        </w:rPr>
        <w:t xml:space="preserve"> </w:t>
      </w:r>
      <w:r w:rsidRPr="00A0744C">
        <w:rPr>
          <w:rFonts w:ascii="Arial" w:hAnsi="Arial" w:cs="Arial"/>
          <w:sz w:val="22"/>
          <w:szCs w:val="22"/>
        </w:rPr>
        <w:t>adote medidas para a</w:t>
      </w:r>
      <w:r w:rsidRPr="00A0744C">
        <w:rPr>
          <w:rFonts w:ascii="Arial" w:hAnsi="Arial" w:cs="Arial"/>
          <w:sz w:val="22"/>
          <w:szCs w:val="22"/>
        </w:rPr>
        <w:t xml:space="preserve"> promoção da conscientização e na garantia de direitos para as pessoas afetadas por essa enfermidade. </w:t>
      </w:r>
    </w:p>
    <w:p w:rsidR="00A0744C" w:rsidRPr="00A0744C" w:rsidP="009C0505" w14:paraId="2C28B130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 xml:space="preserve"> Essa iniciativa permitirá uma abordagem mais abrangente e eficaz para lidar com essa condição, proporcionando informações precisas e acessíveis à população, promovendo o diagnóstico precoce, garantindo o acesso a tratamentos adequados e combatendo o estigma em torno da doença. </w:t>
      </w:r>
    </w:p>
    <w:p w:rsidR="009C0505" w:rsidRPr="00A0744C" w:rsidP="009C0505" w14:paraId="5C3E27A1" w14:textId="780D2A9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sz w:val="22"/>
          <w:szCs w:val="22"/>
        </w:rPr>
        <w:t>Portanto, este projeto de lei representa um importante avanço na defesa dos direitos e no apoio às pessoas afetadas pela Neuralgia do Trigêmeo, contribuindo para melhorar sua qualidade de vida e bem-estar.</w:t>
      </w:r>
    </w:p>
    <w:p w:rsidR="009C0505" w:rsidRPr="00A0744C" w:rsidP="009C0505" w14:paraId="57832507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B3E34" w:rsidRPr="00A0744C" w:rsidP="00450982" w14:paraId="3155E1D5" w14:textId="5C3CFE45">
      <w:pPr>
        <w:jc w:val="center"/>
        <w:rPr>
          <w:rFonts w:ascii="Arial" w:hAnsi="Arial" w:cs="Arial"/>
          <w:sz w:val="22"/>
          <w:szCs w:val="22"/>
        </w:rPr>
      </w:pPr>
      <w:r w:rsidRPr="00A074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69585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658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44C">
        <w:rPr>
          <w:rFonts w:ascii="Arial" w:hAnsi="Arial" w:cs="Arial"/>
          <w:sz w:val="22"/>
          <w:szCs w:val="22"/>
        </w:rPr>
        <w:t xml:space="preserve">Sala das </w:t>
      </w:r>
      <w:r w:rsidRPr="00A0744C" w:rsidR="00A0744C">
        <w:rPr>
          <w:rFonts w:ascii="Arial" w:hAnsi="Arial" w:cs="Arial"/>
          <w:sz w:val="22"/>
          <w:szCs w:val="22"/>
        </w:rPr>
        <w:t>S</w:t>
      </w:r>
      <w:r w:rsidRPr="00A0744C">
        <w:rPr>
          <w:rFonts w:ascii="Arial" w:hAnsi="Arial" w:cs="Arial"/>
          <w:sz w:val="22"/>
          <w:szCs w:val="22"/>
        </w:rPr>
        <w:t xml:space="preserve">essões, </w:t>
      </w:r>
      <w:r w:rsidRPr="00A0744C" w:rsidR="00A0744C">
        <w:rPr>
          <w:rFonts w:ascii="Arial" w:hAnsi="Arial" w:cs="Arial"/>
          <w:sz w:val="22"/>
          <w:szCs w:val="22"/>
        </w:rPr>
        <w:t>26</w:t>
      </w:r>
      <w:r w:rsidRPr="00A0744C">
        <w:rPr>
          <w:rFonts w:ascii="Arial" w:hAnsi="Arial" w:cs="Arial"/>
          <w:sz w:val="22"/>
          <w:szCs w:val="22"/>
        </w:rPr>
        <w:t xml:space="preserve"> de </w:t>
      </w:r>
      <w:r w:rsidRPr="00A0744C" w:rsidR="00A0744C">
        <w:rPr>
          <w:rFonts w:ascii="Arial" w:hAnsi="Arial" w:cs="Arial"/>
          <w:sz w:val="22"/>
          <w:szCs w:val="22"/>
        </w:rPr>
        <w:t>Agosto</w:t>
      </w:r>
      <w:r w:rsidRPr="00A0744C">
        <w:rPr>
          <w:rFonts w:ascii="Arial" w:hAnsi="Arial" w:cs="Arial"/>
          <w:sz w:val="22"/>
          <w:szCs w:val="22"/>
        </w:rPr>
        <w:t xml:space="preserve"> de 2.025</w:t>
      </w:r>
    </w:p>
    <w:p w:rsidR="00450982" w:rsidRPr="00A0744C" w:rsidP="00450982" w14:paraId="0D540BDA" w14:textId="6A5F872B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2"/>
          <w:szCs w:val="22"/>
        </w:rPr>
      </w:pPr>
    </w:p>
    <w:p w:rsidR="00450982" w:rsidRPr="00A0744C" w:rsidP="00450982" w14:paraId="6C5767EF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2"/>
          <w:szCs w:val="22"/>
        </w:rPr>
      </w:pPr>
      <w:r w:rsidRPr="00A0744C">
        <w:rPr>
          <w:rFonts w:ascii="Arial" w:hAnsi="Arial" w:cs="Arial"/>
          <w:b/>
          <w:bCs/>
          <w:sz w:val="22"/>
          <w:szCs w:val="22"/>
        </w:rPr>
        <w:t xml:space="preserve">SEBASTIÃO ALVES CORREA </w:t>
      </w:r>
    </w:p>
    <w:p w:rsidR="00450982" w:rsidRPr="00A0744C" w:rsidP="00450982" w14:paraId="703B2F70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0744C">
        <w:rPr>
          <w:rFonts w:ascii="Arial" w:hAnsi="Arial" w:cs="Arial"/>
          <w:color w:val="000000" w:themeColor="text1"/>
          <w:sz w:val="22"/>
          <w:szCs w:val="22"/>
        </w:rPr>
        <w:t>TIÃO CORREA – Vereador/PSDB</w:t>
      </w:r>
    </w:p>
    <w:sectPr w:rsidSect="000B3E3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CF" w14:paraId="11CEEC2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53CCF" w:rsidRPr="006D1E9A" w:rsidP="006D1E9A" w14:paraId="1E35F6BC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153CCF" w:rsidRPr="006D1E9A" w:rsidP="006D1E9A" w14:paraId="17475F0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CF" w14:paraId="6C38E2C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CF" w:rsidRPr="006D1E9A" w:rsidP="006D1E9A" w14:paraId="163244C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DC"/>
    <w:rsid w:val="000B3E34"/>
    <w:rsid w:val="00153CCF"/>
    <w:rsid w:val="00405BAE"/>
    <w:rsid w:val="00450982"/>
    <w:rsid w:val="00480929"/>
    <w:rsid w:val="00672B52"/>
    <w:rsid w:val="006D1E9A"/>
    <w:rsid w:val="006F027C"/>
    <w:rsid w:val="00705FB2"/>
    <w:rsid w:val="00837D86"/>
    <w:rsid w:val="009C0505"/>
    <w:rsid w:val="00A0744C"/>
    <w:rsid w:val="00A6246D"/>
    <w:rsid w:val="00A6768B"/>
    <w:rsid w:val="00A953C6"/>
    <w:rsid w:val="00CB76DD"/>
    <w:rsid w:val="00D77ADC"/>
    <w:rsid w:val="00E9145E"/>
    <w:rsid w:val="00EC4E82"/>
    <w:rsid w:val="00FF6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635A32-5038-4906-9B95-1FE24613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D77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77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77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77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77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77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77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77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77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D77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77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77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77A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77A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77A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77A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77A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77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77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77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77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77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77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77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A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77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77A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A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2025-08-25T13:17:00Z</dcterms:created>
  <dcterms:modified xsi:type="dcterms:W3CDTF">2025-08-25T13:17:00Z</dcterms:modified>
</cp:coreProperties>
</file>