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orrogação da vigência do Plano Municipal de Educação, instituído pela Lei Municipal nr. 5784/2015, de 22 de junho de 2015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