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rorrogação da vigência do Plano Municipal de Educação, instituído pela Lei Municipal nr. 5784/2015, de 22 de junho de 2015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