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383/2025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o recebimento de patrocínio para realização de eventos públicos no âmbito do Município de Sumaré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