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380/2025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do Município, com base em operação de crédito, no valor de R$ 50.000.000,00 (cinquenta milhões de reais), na forma em que especifica abaixo,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