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do Município, com base em operação de crédito, no valor de R$ 50.000.000,00 (cinquenta milhões de reais), na forma em que especifica abaixo,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