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parentalidade positiva, o direito ao brincar como estratégias intersetoriais de prevenção à violência contra crianças e adolescentes e cria a semana municipal do brincar.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