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Cuiabá - Nova Veneza.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Cuiabá - Nova Veneza.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Moradores locais, em sua maioria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idosos</w:t>
      </w:r>
      <w:r w:rsidRPr="00000000">
        <w:rPr>
          <w:rFonts w:ascii="Arial" w:eastAsia="Arial" w:hAnsi="Arial" w:cs="Arial"/>
          <w:sz w:val="24"/>
          <w:szCs w:val="24"/>
          <w:rtl w:val="0"/>
        </w:rPr>
        <w:t>, têm enfrentado dificuldades de mobilidade e segurança devido às condições da rua. A situação tem causado transtornos significativos e a rua é apontada pela comunidade como uma das mais críticas da região.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Solicito, portanto, que seja providenciada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operação tapa-buracos</w:t>
      </w:r>
      <w:r w:rsidRPr="00000000">
        <w:rPr>
          <w:rFonts w:ascii="Arial" w:eastAsia="Arial" w:hAnsi="Arial" w:cs="Arial"/>
          <w:sz w:val="24"/>
          <w:szCs w:val="24"/>
          <w:rtl w:val="0"/>
        </w:rPr>
        <w:t>, visando garantir segurança e trafegabilidade aos moradores.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julho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37693159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4078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510156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543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998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03885715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7064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9235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