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Remoção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Pereira dos Santos, 198 - Parque Bandeirantes 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Remoção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Pereira dos Santos, 198 - Parque Bandeirantes I.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solicitação se justifica pelo fato de que a árvore apresenta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dimensões elevadas, com galhos sobre à rede elétrica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oferecendo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risco à segurança da população, possibilidade de acidentes e danos à fiação elétrica</w:t>
      </w:r>
      <w:r w:rsidRPr="00000000">
        <w:rPr>
          <w:rFonts w:ascii="Arial" w:eastAsia="Arial" w:hAnsi="Arial" w:cs="Arial"/>
          <w:sz w:val="24"/>
          <w:szCs w:val="24"/>
          <w:rtl w:val="0"/>
        </w:rPr>
        <w:t>, especialmente em dias de vento forte ou chuva.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Diante da situação, solicito que seja realizada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vistoria técnica com urgência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e, sendo constatado o risco, que a remoção seja providenciada o quanto antes.</w:t>
      </w:r>
    </w:p>
    <w:p w:rsidR="00000000" w:rsidRPr="00000000" w:rsidP="00000000" w14:paraId="00000009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julho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4139576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550025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8835459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916122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3994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933725155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76472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501173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