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D0E6C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264D5">
        <w:rPr>
          <w:rFonts w:ascii="Arial" w:eastAsia="Arial" w:hAnsi="Arial" w:cs="Arial"/>
          <w:b/>
          <w:i/>
          <w:color w:val="000000"/>
          <w:szCs w:val="24"/>
        </w:rPr>
        <w:t>2</w:t>
      </w:r>
      <w:r w:rsidR="00417EF2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3D84776C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417EF2">
        <w:rPr>
          <w:rFonts w:ascii="Arial" w:hAnsi="Arial" w:cs="Arial"/>
          <w:szCs w:val="24"/>
        </w:rPr>
        <w:t xml:space="preserve">implementação de ciclovia e </w:t>
      </w:r>
      <w:r w:rsidR="00200E0E">
        <w:rPr>
          <w:rFonts w:ascii="Arial" w:hAnsi="Arial" w:cs="Arial"/>
          <w:szCs w:val="24"/>
        </w:rPr>
        <w:t>calçada na Estrada dos Barreiros, que liga Nova Veneza à Area Cura.</w:t>
      </w:r>
    </w:p>
    <w:p w:rsidR="001322FD" w:rsidP="00AD2344" w14:paraId="539A9122" w14:textId="0EDFCF2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</w:t>
      </w:r>
      <w:r w:rsidR="00200E0E">
        <w:rPr>
          <w:rFonts w:ascii="Arial" w:hAnsi="Arial" w:cs="Arial"/>
          <w:szCs w:val="24"/>
        </w:rPr>
        <w:t xml:space="preserve"> que a importante ligação entre os bairros também é rota para pedestres e ciclistas sendo assim necessitando de um local seguro para trafegarem.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3DF7A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19B">
        <w:rPr>
          <w:rFonts w:ascii="Arial" w:hAnsi="Arial" w:cs="Arial"/>
          <w:szCs w:val="24"/>
        </w:rPr>
        <w:t>4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2756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4FB8715F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00E0E"/>
    <w:rsid w:val="002A7F65"/>
    <w:rsid w:val="002B42AD"/>
    <w:rsid w:val="003007FF"/>
    <w:rsid w:val="00341EC0"/>
    <w:rsid w:val="00386679"/>
    <w:rsid w:val="003E73B8"/>
    <w:rsid w:val="004131C6"/>
    <w:rsid w:val="004146D7"/>
    <w:rsid w:val="00417EF2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93746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  <w:rsid w:val="00FB6BAA"/>
    <w:rsid w:val="00FC6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2025-08-04T11:57:00Z</dcterms:created>
  <dcterms:modified xsi:type="dcterms:W3CDTF">2025-08-04T11:57:00Z</dcterms:modified>
</cp:coreProperties>
</file>