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Sinalização de “PARE”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Adão Rosa, 174 - Jardim Santa Joana.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Sinalização de “PARE”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Adão Rosa, 174 - Jardim Santa Joana.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solicitação foi encaminhada por moradores e comerciantes da região, que relataram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ausência de sinalização adequada no local</w:t>
      </w:r>
      <w:r w:rsidRPr="00000000">
        <w:rPr>
          <w:rFonts w:ascii="Arial" w:eastAsia="Arial" w:hAnsi="Arial" w:cs="Arial"/>
          <w:sz w:val="24"/>
          <w:szCs w:val="24"/>
          <w:rtl w:val="0"/>
        </w:rPr>
        <w:t>, o que tem gerado insegurança no tráfego e risco de acidentes.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seja feita a devida análise técnica e a posterior instalação da sinalização, promovendo maior segurança viária na região.</w:t>
      </w:r>
    </w:p>
    <w:p w:rsidR="00000000" w:rsidRPr="00000000" w:rsidP="00000000" w14:paraId="00000009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julho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0499756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8127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288439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246819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842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7655023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57907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08555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