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Iluminação e Duplicação da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Estrada Municipal Valêncio Calegari.</w:t>
      </w: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4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Iluminação e Duplicação da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Estrada Municipal Valêncio Calegari.</w:t>
      </w:r>
    </w:p>
    <w:p w:rsidR="00000000" w:rsidRPr="00000000" w:rsidP="00000000" w14:paraId="00000007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via em questão apresenta fluxo intenso de veículos, inclusive de carga pesada, além de ser utilizada diariamente por trabalhadores, estudantes e moradores da região. Sua infraestrutura atual é insuficiente para atender com segurança e fluidez o volume de tráfego existente.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Além disso, 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falta de iluminação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compromete a segurança dos motoristas e pedestres, especialmente no período noturno, aumentando os riscos de acidentes e favorecendo ações criminosas.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duplicação e a iluminação desse trecho são medidas urgentes e de grande impacto para melhorar 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mobilidade urbana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 segurança viária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 qualidade de vida da população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23 de junho de 2025.</w:t>
      </w:r>
    </w:p>
    <w:p w:rsidR="00000000" w:rsidRPr="00000000" w:rsidP="00000000" w14:paraId="0000000C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114300" distB="114300" distL="114300" distR="114300">
            <wp:extent cx="2078653" cy="968692"/>
            <wp:effectExtent l="0" t="0" r="0" b="0"/>
            <wp:docPr id="1238107976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219372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078653" cy="968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02788987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61480267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502416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71869759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5758033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7050402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