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kf2qj0cr8geo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CALÇADA NA ÁREA PÚBLICA - PRAÇA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edinc7mfdhw7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Rua Olívia Lobo, na altura do nº 323 - Parque Florely (Nova Veneza),</w:t>
      </w:r>
      <w:r w:rsidRPr="00000000">
        <w:rPr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Olívia Lobo, na altura do nº 323 -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calçada em torno da área verde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construção da calçada no local em questão é essencial para garantir maior segurança, acessibilidade e conforto aos cidadãos que circulam pela região. Atualmente, a falta de um passeio adequado expõe pedestres a riscos, como trafegar próximo a veículos ou enfrentar terrenos irregulares, o que pode levar a acidentes e dificultar o deslocamento, especialmente de idosos, crianças e pessoas com mobilidade reduzida.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uma calçada bem estruturada contribui para a organização do espaço urbano, incentivando o caminhar e reduzindo a dependência de transportes motorizados para pequenos trajetos. A obra também valoriza o entorno, promovendo inclusão social e qualidade de vida, já que o direito à mobilidade segura é um princípio básico de cidades sustentáveis.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A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328064" cy="1440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4110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806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2" w:name="_heading=h.uo86r7aw0049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18808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5343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6832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08803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68127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Z55YOc5NF1j42dnhrDr0B2Ffw==">CgMxLjAyDmgua2YycWowY3I4Z2VvMg5oLmVkaW5jN21mZGh3NzIOaC51bzg2cjdhdzAwNDk4AHIhMU1PTnhEOWx0bUVFTlV6eHFSbzFXX3VOQzRPai1maDFI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2025-02-24T13:45:00Z</dcterms:created>
</cp:coreProperties>
</file>