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dispositivos que menciona da Lei Municipal nº 3545, de 28 de dezembro de 2000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