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no valor de R$ 220.000,00 (duzentos e vinte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