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62A8C" w:rsidP="009B3B6D" w14:paraId="6B34B31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62A8C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262A8C">
        <w:rPr>
          <w:rFonts w:ascii="Tahoma" w:hAnsi="Tahoma" w:cs="Tahoma"/>
          <w:b/>
          <w:bCs/>
          <w:sz w:val="24"/>
          <w:szCs w:val="24"/>
        </w:rPr>
        <w:t>Kotakasa</w:t>
      </w:r>
      <w:r w:rsidRPr="00262A8C">
        <w:rPr>
          <w:rFonts w:ascii="Tahoma" w:hAnsi="Tahoma" w:cs="Tahoma"/>
          <w:b/>
          <w:bCs/>
          <w:sz w:val="24"/>
          <w:szCs w:val="24"/>
        </w:rPr>
        <w:t xml:space="preserve"> Nomura, 295, Parque Jatobá</w:t>
      </w:r>
    </w:p>
    <w:p w:rsidR="009B3B6D" w:rsidP="009B3B6D" w14:paraId="1E59A019" w14:textId="16197F4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7025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2A8C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2B4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16B5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5CE1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E5E3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04D8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2025-06-16T15:09:00Z</dcterms:created>
  <dcterms:modified xsi:type="dcterms:W3CDTF">2025-06-16T15:09:00Z</dcterms:modified>
</cp:coreProperties>
</file>