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20ED052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14483">
        <w:rPr>
          <w:rFonts w:ascii="Tahoma" w:hAnsi="Tahoma" w:cs="Tahoma"/>
          <w:b/>
          <w:bCs/>
          <w:sz w:val="24"/>
          <w:szCs w:val="24"/>
        </w:rPr>
        <w:t xml:space="preserve">Reparo da pavimentação asfáltica da Ismael </w:t>
      </w:r>
      <w:r w:rsidRPr="00414483">
        <w:rPr>
          <w:rFonts w:ascii="Tahoma" w:hAnsi="Tahoma" w:cs="Tahoma"/>
          <w:b/>
          <w:bCs/>
          <w:sz w:val="24"/>
          <w:szCs w:val="24"/>
        </w:rPr>
        <w:t>Garbelin</w:t>
      </w:r>
      <w:r w:rsidRPr="00414483">
        <w:rPr>
          <w:rFonts w:ascii="Tahoma" w:hAnsi="Tahoma" w:cs="Tahoma"/>
          <w:b/>
          <w:bCs/>
          <w:sz w:val="24"/>
          <w:szCs w:val="24"/>
        </w:rPr>
        <w:t>, 217, Jardim Bela Vista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683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2025-06-09T15:14:00Z</dcterms:created>
  <dcterms:modified xsi:type="dcterms:W3CDTF">2025-06-09T15:14:00Z</dcterms:modified>
</cp:coreProperties>
</file>