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1AA4" w:rsidRPr="005076FA" w:rsidP="005076FA" w14:paraId="43B2ACD7" w14:textId="77777777">
      <w:pPr>
        <w:jc w:val="both"/>
        <w:rPr>
          <w:rFonts w:ascii="Arial" w:hAnsi="Arial" w:cs="Arial"/>
        </w:rPr>
      </w:pPr>
      <w:permStart w:id="0" w:edGrp="everyone"/>
    </w:p>
    <w:p w:rsidR="00CA2292" w:rsidRPr="005076FA" w:rsidP="005076FA" w14:paraId="5B14A71D" w14:textId="77777777">
      <w:pPr>
        <w:jc w:val="both"/>
        <w:rPr>
          <w:rFonts w:ascii="Arial" w:hAnsi="Arial" w:cs="Arial"/>
        </w:rPr>
      </w:pPr>
    </w:p>
    <w:p w:rsidR="00CA2292" w:rsidRPr="005076FA" w:rsidP="005076FA" w14:paraId="5D9E0BA0" w14:textId="77777777">
      <w:pPr>
        <w:jc w:val="both"/>
        <w:rPr>
          <w:rFonts w:ascii="Arial" w:hAnsi="Arial" w:cs="Arial"/>
        </w:rPr>
      </w:pPr>
    </w:p>
    <w:p w:rsidR="00CA2292" w:rsidRPr="00CA2292" w:rsidP="00E0404D" w14:paraId="033D5332" w14:textId="37825AE5">
      <w:pPr>
        <w:jc w:val="right"/>
        <w:rPr>
          <w:rFonts w:ascii="Arial" w:hAnsi="Arial" w:cs="Arial"/>
          <w:b/>
          <w:bCs/>
        </w:rPr>
      </w:pPr>
      <w:r w:rsidRPr="005076FA">
        <w:rPr>
          <w:rFonts w:ascii="Arial" w:hAnsi="Arial" w:cs="Arial"/>
          <w:b/>
          <w:bCs/>
        </w:rPr>
        <w:t xml:space="preserve">SUBSTITUTIVO TOTAL AO </w:t>
      </w:r>
      <w:r w:rsidRPr="00CA2292">
        <w:rPr>
          <w:rFonts w:ascii="Arial" w:hAnsi="Arial" w:cs="Arial"/>
          <w:b/>
          <w:bCs/>
        </w:rPr>
        <w:t>PROJETO DE LEI N</w:t>
      </w:r>
      <w:r w:rsidRPr="005076FA">
        <w:rPr>
          <w:rFonts w:ascii="Arial" w:hAnsi="Arial" w:cs="Arial"/>
          <w:b/>
          <w:bCs/>
        </w:rPr>
        <w:t>º 175</w:t>
      </w:r>
      <w:r w:rsidRPr="00CA2292">
        <w:rPr>
          <w:rFonts w:ascii="Arial" w:hAnsi="Arial" w:cs="Arial"/>
          <w:b/>
          <w:bCs/>
        </w:rPr>
        <w:t>/2025</w:t>
      </w:r>
    </w:p>
    <w:p w:rsidR="00CA2292" w:rsidRPr="00CA2292" w:rsidP="005076FA" w14:paraId="62AD5B7C" w14:textId="77777777">
      <w:pPr>
        <w:ind w:left="4253"/>
        <w:jc w:val="both"/>
        <w:rPr>
          <w:rFonts w:ascii="Arial" w:hAnsi="Arial" w:cs="Arial"/>
          <w:b/>
          <w:bCs/>
        </w:rPr>
      </w:pPr>
    </w:p>
    <w:p w:rsidR="00CA2292" w:rsidRPr="00CA2292" w:rsidP="005076FA" w14:paraId="2F9B9857" w14:textId="77777777">
      <w:pPr>
        <w:ind w:left="4253"/>
        <w:jc w:val="both"/>
        <w:rPr>
          <w:rFonts w:ascii="Arial" w:hAnsi="Arial" w:cs="Arial"/>
          <w:b/>
          <w:bCs/>
        </w:rPr>
      </w:pPr>
      <w:r w:rsidRPr="00CA2292">
        <w:rPr>
          <w:rFonts w:ascii="Arial" w:hAnsi="Arial" w:cs="Arial"/>
          <w:b/>
          <w:bCs/>
        </w:rPr>
        <w:t>DISPÕE SOBRE A CONCESSÃO DE ISENÇÃO DE IPTU E TAXA DE LIXO A PESSOAS PORTADORAS DE ENFERMIDADES GRAVES, E DÁ OUTRAS PROVIDÊNCIAS.</w:t>
      </w:r>
    </w:p>
    <w:p w:rsidR="00CA2292" w:rsidRPr="00CA2292" w:rsidP="005076FA" w14:paraId="7F30087C" w14:textId="77777777">
      <w:pPr>
        <w:jc w:val="both"/>
        <w:rPr>
          <w:rFonts w:ascii="Arial" w:hAnsi="Arial" w:cs="Arial"/>
          <w:b/>
          <w:bCs/>
        </w:rPr>
      </w:pPr>
    </w:p>
    <w:p w:rsidR="00CA2292" w:rsidRPr="00CA2292" w:rsidP="005076FA" w14:paraId="70C276CD" w14:textId="5C40B2F8">
      <w:pPr>
        <w:jc w:val="right"/>
        <w:rPr>
          <w:rFonts w:ascii="Arial" w:hAnsi="Arial" w:cs="Arial"/>
          <w:b/>
          <w:bCs/>
        </w:rPr>
      </w:pPr>
      <w:r w:rsidRPr="00CA2292">
        <w:rPr>
          <w:rFonts w:ascii="Arial" w:hAnsi="Arial" w:cs="Arial"/>
          <w:b/>
          <w:bCs/>
        </w:rPr>
        <w:t xml:space="preserve">                                     </w:t>
      </w:r>
      <w:r w:rsidRPr="00CA2292">
        <w:rPr>
          <w:rFonts w:ascii="Arial" w:hAnsi="Arial" w:cs="Arial"/>
          <w:b/>
          <w:bCs/>
        </w:rPr>
        <w:tab/>
      </w:r>
      <w:r w:rsidRPr="00CA2292">
        <w:rPr>
          <w:rFonts w:ascii="Arial" w:hAnsi="Arial" w:cs="Arial"/>
          <w:b/>
          <w:bCs/>
        </w:rPr>
        <w:tab/>
      </w:r>
      <w:r w:rsidRPr="005076FA" w:rsidR="008E3380">
        <w:rPr>
          <w:rFonts w:ascii="Arial" w:hAnsi="Arial" w:cs="Arial"/>
          <w:b/>
          <w:bCs/>
        </w:rPr>
        <w:t>A</w:t>
      </w:r>
      <w:r w:rsidRPr="00CA2292">
        <w:rPr>
          <w:rFonts w:ascii="Arial" w:hAnsi="Arial" w:cs="Arial"/>
          <w:b/>
          <w:bCs/>
        </w:rPr>
        <w:t>utoria: VEREADOR HÉLIO SILVA</w:t>
      </w:r>
    </w:p>
    <w:p w:rsidR="00CA2292" w:rsidRPr="00CA2292" w:rsidP="005076FA" w14:paraId="1C1C717A" w14:textId="77777777">
      <w:pPr>
        <w:jc w:val="both"/>
        <w:rPr>
          <w:rFonts w:ascii="Arial" w:hAnsi="Arial" w:cs="Arial"/>
        </w:rPr>
      </w:pPr>
    </w:p>
    <w:p w:rsidR="00CA2292" w:rsidRPr="00CA2292" w:rsidP="005076FA" w14:paraId="0A3A0641" w14:textId="77777777">
      <w:pPr>
        <w:jc w:val="both"/>
        <w:rPr>
          <w:rFonts w:ascii="Arial" w:hAnsi="Arial" w:cs="Arial"/>
        </w:rPr>
      </w:pPr>
      <w:r w:rsidRPr="00CA2292">
        <w:rPr>
          <w:rFonts w:ascii="Arial" w:hAnsi="Arial" w:cs="Arial"/>
        </w:rPr>
        <w:t>Faço saber que a Câmara Municipal de Sumaré aprovou e eu sanciono e promulgo a seguinte lei:</w:t>
      </w:r>
    </w:p>
    <w:p w:rsidR="00CA2292" w:rsidRPr="00CA2292" w:rsidP="005076FA" w14:paraId="6F0E902D" w14:textId="77777777">
      <w:pPr>
        <w:jc w:val="both"/>
        <w:rPr>
          <w:rFonts w:ascii="Arial" w:hAnsi="Arial" w:cs="Arial"/>
        </w:rPr>
      </w:pPr>
    </w:p>
    <w:p w:rsidR="00781F6E" w:rsidP="005076FA" w14:paraId="56DABC11" w14:textId="669240D4">
      <w:pPr>
        <w:ind w:firstLine="1134"/>
        <w:jc w:val="both"/>
        <w:rPr>
          <w:rFonts w:ascii="Arial" w:hAnsi="Arial" w:cs="Arial"/>
        </w:rPr>
      </w:pPr>
      <w:r w:rsidRPr="00CA2292">
        <w:rPr>
          <w:rFonts w:ascii="Arial" w:hAnsi="Arial" w:cs="Arial"/>
          <w:b/>
          <w:bCs/>
        </w:rPr>
        <w:t xml:space="preserve">Art. 1º </w:t>
      </w:r>
      <w:r w:rsidRPr="005076FA">
        <w:rPr>
          <w:rFonts w:ascii="Arial" w:hAnsi="Arial" w:cs="Arial"/>
        </w:rPr>
        <w:t>Fica concedida a isenção do IPTU, da Taxa de Coleta de Lixo e da Contribuição de Iluminação Pública (CIP) em favor dos munícipes portadores das seguintes doenças graves, ainda que não listadas como isentas por legislação federal:</w:t>
      </w:r>
    </w:p>
    <w:p w:rsidR="000D502F" w:rsidRPr="005076FA" w:rsidP="005076FA" w14:paraId="0EACDD4D" w14:textId="77777777">
      <w:pPr>
        <w:ind w:firstLine="1134"/>
        <w:jc w:val="both"/>
        <w:rPr>
          <w:rFonts w:ascii="Arial" w:hAnsi="Arial" w:cs="Arial"/>
        </w:rPr>
      </w:pPr>
    </w:p>
    <w:p w:rsidR="00781F6E" w:rsidRPr="005076FA" w:rsidP="005076FA" w14:paraId="2F2E3E68" w14:textId="1F2DB4F3">
      <w:pPr>
        <w:pStyle w:val="ListParagraph"/>
        <w:numPr>
          <w:ilvl w:val="0"/>
          <w:numId w:val="7"/>
        </w:numPr>
        <w:ind w:firstLine="196"/>
        <w:jc w:val="both"/>
        <w:rPr>
          <w:rFonts w:ascii="Arial" w:hAnsi="Arial" w:cs="Arial"/>
        </w:rPr>
      </w:pPr>
      <w:r w:rsidRPr="005076FA">
        <w:rPr>
          <w:rFonts w:ascii="Arial" w:hAnsi="Arial" w:cs="Arial"/>
        </w:rPr>
        <w:t xml:space="preserve">           </w:t>
      </w:r>
      <w:r w:rsidRPr="005076FA">
        <w:rPr>
          <w:rFonts w:ascii="Arial" w:hAnsi="Arial" w:cs="Arial"/>
        </w:rPr>
        <w:t>Tuberculose ativa</w:t>
      </w:r>
    </w:p>
    <w:p w:rsidR="00781F6E" w:rsidRPr="005076FA" w:rsidP="005076FA" w14:paraId="5B328975" w14:textId="77777777">
      <w:pPr>
        <w:pStyle w:val="ListParagraph"/>
        <w:numPr>
          <w:ilvl w:val="0"/>
          <w:numId w:val="7"/>
        </w:numPr>
        <w:ind w:firstLine="196"/>
        <w:jc w:val="both"/>
        <w:rPr>
          <w:rFonts w:ascii="Arial" w:hAnsi="Arial" w:cs="Arial"/>
        </w:rPr>
      </w:pPr>
      <w:r w:rsidRPr="005076FA">
        <w:rPr>
          <w:rFonts w:ascii="Arial" w:hAnsi="Arial" w:cs="Arial"/>
        </w:rPr>
        <w:t>E</w:t>
      </w:r>
      <w:r w:rsidRPr="005076FA">
        <w:rPr>
          <w:rFonts w:ascii="Arial" w:hAnsi="Arial" w:cs="Arial"/>
        </w:rPr>
        <w:t>sclerose múltipla</w:t>
      </w:r>
    </w:p>
    <w:p w:rsidR="00781F6E" w:rsidRPr="005076FA" w:rsidP="005076FA" w14:paraId="59903D5D" w14:textId="5C2A34DB">
      <w:pPr>
        <w:pStyle w:val="ListParagraph"/>
        <w:numPr>
          <w:ilvl w:val="0"/>
          <w:numId w:val="7"/>
        </w:numPr>
        <w:ind w:firstLine="196"/>
        <w:jc w:val="both"/>
        <w:rPr>
          <w:rFonts w:ascii="Arial" w:hAnsi="Arial" w:cs="Arial"/>
        </w:rPr>
      </w:pPr>
      <w:r w:rsidRPr="005076FA">
        <w:rPr>
          <w:rFonts w:ascii="Arial" w:hAnsi="Arial" w:cs="Arial"/>
        </w:rPr>
        <w:t>E</w:t>
      </w:r>
      <w:r w:rsidRPr="005076FA">
        <w:rPr>
          <w:rFonts w:ascii="Arial" w:hAnsi="Arial" w:cs="Arial"/>
        </w:rPr>
        <w:t xml:space="preserve">sclerose lateral amiotrófica, </w:t>
      </w:r>
    </w:p>
    <w:p w:rsidR="00781F6E" w:rsidRPr="005076FA" w:rsidP="005076FA" w14:paraId="42A7F726" w14:textId="3FE24731">
      <w:pPr>
        <w:pStyle w:val="ListParagraph"/>
        <w:numPr>
          <w:ilvl w:val="0"/>
          <w:numId w:val="7"/>
        </w:numPr>
        <w:ind w:firstLine="196"/>
        <w:jc w:val="both"/>
        <w:rPr>
          <w:rFonts w:ascii="Arial" w:hAnsi="Arial" w:cs="Arial"/>
        </w:rPr>
      </w:pPr>
      <w:r w:rsidRPr="005076FA">
        <w:rPr>
          <w:rFonts w:ascii="Arial" w:hAnsi="Arial" w:cs="Arial"/>
        </w:rPr>
        <w:t>N</w:t>
      </w:r>
      <w:r w:rsidRPr="005076FA">
        <w:rPr>
          <w:rFonts w:ascii="Arial" w:hAnsi="Arial" w:cs="Arial"/>
        </w:rPr>
        <w:t xml:space="preserve">eoplasia maligna, </w:t>
      </w:r>
    </w:p>
    <w:p w:rsidR="00781F6E" w:rsidRPr="005076FA" w:rsidP="005076FA" w14:paraId="4F0B38C8" w14:textId="20F86FB3">
      <w:pPr>
        <w:pStyle w:val="ListParagraph"/>
        <w:numPr>
          <w:ilvl w:val="0"/>
          <w:numId w:val="7"/>
        </w:numPr>
        <w:ind w:firstLine="196"/>
        <w:jc w:val="both"/>
        <w:rPr>
          <w:rFonts w:ascii="Arial" w:hAnsi="Arial" w:cs="Arial"/>
        </w:rPr>
      </w:pPr>
      <w:r w:rsidRPr="005076FA">
        <w:rPr>
          <w:rFonts w:ascii="Arial" w:hAnsi="Arial" w:cs="Arial"/>
        </w:rPr>
        <w:t>H</w:t>
      </w:r>
      <w:r w:rsidRPr="005076FA">
        <w:rPr>
          <w:rFonts w:ascii="Arial" w:hAnsi="Arial" w:cs="Arial"/>
        </w:rPr>
        <w:t xml:space="preserve">anseníase, </w:t>
      </w:r>
    </w:p>
    <w:p w:rsidR="008E3380" w:rsidRPr="005076FA" w:rsidP="005076FA" w14:paraId="0B48A0DF" w14:textId="77777777">
      <w:pPr>
        <w:pStyle w:val="ListParagraph"/>
        <w:numPr>
          <w:ilvl w:val="0"/>
          <w:numId w:val="7"/>
        </w:numPr>
        <w:ind w:firstLine="196"/>
        <w:jc w:val="both"/>
        <w:rPr>
          <w:rFonts w:ascii="Arial" w:hAnsi="Arial" w:cs="Arial"/>
        </w:rPr>
      </w:pPr>
      <w:r w:rsidRPr="005076FA">
        <w:rPr>
          <w:rFonts w:ascii="Arial" w:hAnsi="Arial" w:cs="Arial"/>
        </w:rPr>
        <w:t>P</w:t>
      </w:r>
      <w:r w:rsidRPr="005076FA">
        <w:rPr>
          <w:rFonts w:ascii="Arial" w:hAnsi="Arial" w:cs="Arial"/>
        </w:rPr>
        <w:t xml:space="preserve">aralisia irreversível e incapacitante, </w:t>
      </w:r>
    </w:p>
    <w:p w:rsidR="00781F6E" w:rsidRPr="005076FA" w:rsidP="005076FA" w14:paraId="010F6B42" w14:textId="3D0118DD">
      <w:pPr>
        <w:pStyle w:val="ListParagraph"/>
        <w:numPr>
          <w:ilvl w:val="0"/>
          <w:numId w:val="7"/>
        </w:numPr>
        <w:ind w:firstLine="196"/>
        <w:jc w:val="both"/>
        <w:rPr>
          <w:rFonts w:ascii="Arial" w:hAnsi="Arial" w:cs="Arial"/>
        </w:rPr>
      </w:pPr>
      <w:r w:rsidRPr="005076FA">
        <w:rPr>
          <w:rFonts w:ascii="Arial" w:hAnsi="Arial" w:cs="Arial"/>
        </w:rPr>
        <w:t>C</w:t>
      </w:r>
      <w:r w:rsidRPr="005076FA">
        <w:rPr>
          <w:rFonts w:ascii="Arial" w:hAnsi="Arial" w:cs="Arial"/>
        </w:rPr>
        <w:t xml:space="preserve">ardiopatia grave, </w:t>
      </w:r>
    </w:p>
    <w:p w:rsidR="00781F6E" w:rsidRPr="005076FA" w:rsidP="005076FA" w14:paraId="55E8D391" w14:textId="6E23B6B7">
      <w:pPr>
        <w:pStyle w:val="ListParagraph"/>
        <w:numPr>
          <w:ilvl w:val="0"/>
          <w:numId w:val="7"/>
        </w:numPr>
        <w:ind w:firstLine="196"/>
        <w:jc w:val="both"/>
        <w:rPr>
          <w:rFonts w:ascii="Arial" w:hAnsi="Arial" w:cs="Arial"/>
        </w:rPr>
      </w:pPr>
      <w:r w:rsidRPr="005076FA">
        <w:rPr>
          <w:rFonts w:ascii="Arial" w:hAnsi="Arial" w:cs="Arial"/>
        </w:rPr>
        <w:t>D</w:t>
      </w:r>
      <w:r w:rsidRPr="005076FA">
        <w:rPr>
          <w:rFonts w:ascii="Arial" w:hAnsi="Arial" w:cs="Arial"/>
        </w:rPr>
        <w:t xml:space="preserve">oença de Parkinson, </w:t>
      </w:r>
    </w:p>
    <w:p w:rsidR="00781F6E" w:rsidRPr="005076FA" w:rsidP="005076FA" w14:paraId="5F1A3328" w14:textId="6B2581EA">
      <w:pPr>
        <w:pStyle w:val="ListParagraph"/>
        <w:numPr>
          <w:ilvl w:val="0"/>
          <w:numId w:val="7"/>
        </w:numPr>
        <w:ind w:firstLine="196"/>
        <w:jc w:val="both"/>
        <w:rPr>
          <w:rFonts w:ascii="Arial" w:hAnsi="Arial" w:cs="Arial"/>
        </w:rPr>
      </w:pPr>
      <w:r w:rsidRPr="005076FA">
        <w:rPr>
          <w:rFonts w:ascii="Arial" w:hAnsi="Arial" w:cs="Arial"/>
        </w:rPr>
        <w:t>E</w:t>
      </w:r>
      <w:r w:rsidRPr="005076FA">
        <w:rPr>
          <w:rFonts w:ascii="Arial" w:hAnsi="Arial" w:cs="Arial"/>
        </w:rPr>
        <w:t>spondiloartrose</w:t>
      </w:r>
      <w:r w:rsidRPr="005076FA">
        <w:rPr>
          <w:rFonts w:ascii="Arial" w:hAnsi="Arial" w:cs="Arial"/>
        </w:rPr>
        <w:t xml:space="preserve"> anquilosante,</w:t>
      </w:r>
    </w:p>
    <w:p w:rsidR="00781F6E" w:rsidRPr="005076FA" w:rsidP="005076FA" w14:paraId="4E2286D6" w14:textId="18F5DC88">
      <w:pPr>
        <w:pStyle w:val="ListParagraph"/>
        <w:numPr>
          <w:ilvl w:val="0"/>
          <w:numId w:val="7"/>
        </w:numPr>
        <w:ind w:firstLine="196"/>
        <w:jc w:val="both"/>
        <w:rPr>
          <w:rFonts w:ascii="Arial" w:hAnsi="Arial" w:cs="Arial"/>
        </w:rPr>
      </w:pPr>
      <w:r w:rsidRPr="005076FA">
        <w:rPr>
          <w:rFonts w:ascii="Arial" w:hAnsi="Arial" w:cs="Arial"/>
        </w:rPr>
        <w:t>N</w:t>
      </w:r>
      <w:r w:rsidRPr="005076FA">
        <w:rPr>
          <w:rFonts w:ascii="Arial" w:hAnsi="Arial" w:cs="Arial"/>
        </w:rPr>
        <w:t xml:space="preserve">efropatia grave, </w:t>
      </w:r>
    </w:p>
    <w:p w:rsidR="00781F6E" w:rsidRPr="005076FA" w:rsidP="005076FA" w14:paraId="77A460AD" w14:textId="2B19FDE3">
      <w:pPr>
        <w:pStyle w:val="ListParagraph"/>
        <w:numPr>
          <w:ilvl w:val="0"/>
          <w:numId w:val="7"/>
        </w:numPr>
        <w:ind w:firstLine="196"/>
        <w:jc w:val="both"/>
        <w:rPr>
          <w:rFonts w:ascii="Arial" w:hAnsi="Arial" w:cs="Arial"/>
        </w:rPr>
      </w:pPr>
      <w:r w:rsidRPr="005076FA">
        <w:rPr>
          <w:rFonts w:ascii="Arial" w:hAnsi="Arial" w:cs="Arial"/>
        </w:rPr>
        <w:t>H</w:t>
      </w:r>
      <w:r w:rsidRPr="005076FA">
        <w:rPr>
          <w:rFonts w:ascii="Arial" w:hAnsi="Arial" w:cs="Arial"/>
        </w:rPr>
        <w:t xml:space="preserve">epatopatia grave, </w:t>
      </w:r>
    </w:p>
    <w:p w:rsidR="00781F6E" w:rsidRPr="005076FA" w:rsidP="005076FA" w14:paraId="2639EC8C" w14:textId="12EEF6EC">
      <w:pPr>
        <w:pStyle w:val="ListParagraph"/>
        <w:numPr>
          <w:ilvl w:val="0"/>
          <w:numId w:val="7"/>
        </w:numPr>
        <w:ind w:firstLine="196"/>
        <w:jc w:val="both"/>
        <w:rPr>
          <w:rFonts w:ascii="Arial" w:hAnsi="Arial" w:cs="Arial"/>
        </w:rPr>
      </w:pPr>
      <w:r w:rsidRPr="005076FA">
        <w:rPr>
          <w:rFonts w:ascii="Arial" w:hAnsi="Arial" w:cs="Arial"/>
        </w:rPr>
        <w:t>E</w:t>
      </w:r>
      <w:r w:rsidRPr="005076FA">
        <w:rPr>
          <w:rFonts w:ascii="Arial" w:hAnsi="Arial" w:cs="Arial"/>
        </w:rPr>
        <w:t xml:space="preserve">stados avançados da doença de </w:t>
      </w:r>
      <w:r w:rsidRPr="005076FA">
        <w:rPr>
          <w:rFonts w:ascii="Arial" w:hAnsi="Arial" w:cs="Arial"/>
        </w:rPr>
        <w:t>Paget</w:t>
      </w:r>
      <w:r w:rsidRPr="005076FA">
        <w:rPr>
          <w:rFonts w:ascii="Arial" w:hAnsi="Arial" w:cs="Arial"/>
        </w:rPr>
        <w:t xml:space="preserve">, </w:t>
      </w:r>
    </w:p>
    <w:p w:rsidR="00781F6E" w:rsidRPr="005076FA" w:rsidP="005076FA" w14:paraId="5272A4CF" w14:textId="706846A2">
      <w:pPr>
        <w:pStyle w:val="ListParagraph"/>
        <w:numPr>
          <w:ilvl w:val="0"/>
          <w:numId w:val="7"/>
        </w:numPr>
        <w:ind w:firstLine="196"/>
        <w:jc w:val="both"/>
        <w:rPr>
          <w:rFonts w:ascii="Arial" w:hAnsi="Arial" w:cs="Arial"/>
        </w:rPr>
      </w:pPr>
      <w:r w:rsidRPr="005076FA">
        <w:rPr>
          <w:rFonts w:ascii="Arial" w:hAnsi="Arial" w:cs="Arial"/>
        </w:rPr>
        <w:t>S</w:t>
      </w:r>
      <w:r w:rsidRPr="005076FA">
        <w:rPr>
          <w:rFonts w:ascii="Arial" w:hAnsi="Arial" w:cs="Arial"/>
        </w:rPr>
        <w:t xml:space="preserve">índrome da deficiência imunológica adquirida (AIDS), </w:t>
      </w:r>
    </w:p>
    <w:p w:rsidR="00781F6E" w:rsidRPr="005076FA" w:rsidP="005076FA" w14:paraId="37E45BAB" w14:textId="754F473F">
      <w:pPr>
        <w:pStyle w:val="ListParagraph"/>
        <w:numPr>
          <w:ilvl w:val="0"/>
          <w:numId w:val="7"/>
        </w:numPr>
        <w:ind w:firstLine="196"/>
        <w:jc w:val="both"/>
        <w:rPr>
          <w:rFonts w:ascii="Arial" w:hAnsi="Arial" w:cs="Arial"/>
        </w:rPr>
      </w:pPr>
      <w:r w:rsidRPr="005076FA">
        <w:rPr>
          <w:rFonts w:ascii="Arial" w:hAnsi="Arial" w:cs="Arial"/>
        </w:rPr>
        <w:t>L</w:t>
      </w:r>
      <w:r w:rsidRPr="005076FA">
        <w:rPr>
          <w:rFonts w:ascii="Arial" w:hAnsi="Arial" w:cs="Arial"/>
        </w:rPr>
        <w:t xml:space="preserve">úpus, </w:t>
      </w:r>
    </w:p>
    <w:p w:rsidR="00781F6E" w:rsidRPr="005076FA" w:rsidP="005076FA" w14:paraId="0B5A2587" w14:textId="77777777">
      <w:pPr>
        <w:pStyle w:val="ListParagraph"/>
        <w:numPr>
          <w:ilvl w:val="0"/>
          <w:numId w:val="7"/>
        </w:numPr>
        <w:ind w:firstLine="196"/>
        <w:jc w:val="both"/>
        <w:rPr>
          <w:rFonts w:ascii="Arial" w:hAnsi="Arial" w:cs="Arial"/>
        </w:rPr>
      </w:pPr>
      <w:r w:rsidRPr="005076FA">
        <w:rPr>
          <w:rFonts w:ascii="Arial" w:hAnsi="Arial" w:cs="Arial"/>
        </w:rPr>
        <w:t xml:space="preserve">AVC </w:t>
      </w:r>
      <w:r w:rsidRPr="005076FA">
        <w:rPr>
          <w:rFonts w:ascii="Arial" w:hAnsi="Arial" w:cs="Arial"/>
        </w:rPr>
        <w:t>sequelar</w:t>
      </w:r>
      <w:r w:rsidRPr="005076FA">
        <w:rPr>
          <w:rFonts w:ascii="Arial" w:hAnsi="Arial" w:cs="Arial"/>
        </w:rPr>
        <w:t xml:space="preserve">, </w:t>
      </w:r>
    </w:p>
    <w:p w:rsidR="00781F6E" w:rsidRPr="005076FA" w:rsidP="005076FA" w14:paraId="6BA001B1" w14:textId="77777777">
      <w:pPr>
        <w:pStyle w:val="ListParagraph"/>
        <w:numPr>
          <w:ilvl w:val="0"/>
          <w:numId w:val="7"/>
        </w:numPr>
        <w:ind w:firstLine="196"/>
        <w:jc w:val="both"/>
        <w:rPr>
          <w:rFonts w:ascii="Arial" w:hAnsi="Arial" w:cs="Arial"/>
        </w:rPr>
      </w:pPr>
      <w:r w:rsidRPr="005076FA">
        <w:rPr>
          <w:rFonts w:ascii="Arial" w:hAnsi="Arial" w:cs="Arial"/>
        </w:rPr>
        <w:t xml:space="preserve">Alzheimer, </w:t>
      </w:r>
    </w:p>
    <w:p w:rsidR="00781F6E" w:rsidRPr="005076FA" w:rsidP="005076FA" w14:paraId="363F234D" w14:textId="77777777">
      <w:pPr>
        <w:pStyle w:val="ListParagraph"/>
        <w:numPr>
          <w:ilvl w:val="0"/>
          <w:numId w:val="7"/>
        </w:numPr>
        <w:ind w:firstLine="196"/>
        <w:jc w:val="both"/>
        <w:rPr>
          <w:rFonts w:ascii="Arial" w:hAnsi="Arial" w:cs="Arial"/>
        </w:rPr>
      </w:pPr>
      <w:r w:rsidRPr="005076FA">
        <w:rPr>
          <w:rFonts w:ascii="Arial" w:hAnsi="Arial" w:cs="Arial"/>
        </w:rPr>
        <w:t>Alzheimer de início precoce,</w:t>
      </w:r>
    </w:p>
    <w:p w:rsidR="00781F6E" w:rsidRPr="005076FA" w:rsidP="005076FA" w14:paraId="628DF5F5" w14:textId="2E6E00F1">
      <w:pPr>
        <w:pStyle w:val="ListParagraph"/>
        <w:numPr>
          <w:ilvl w:val="0"/>
          <w:numId w:val="7"/>
        </w:numPr>
        <w:ind w:firstLine="196"/>
        <w:jc w:val="both"/>
        <w:rPr>
          <w:rFonts w:ascii="Arial" w:hAnsi="Arial" w:cs="Arial"/>
        </w:rPr>
      </w:pPr>
      <w:r w:rsidRPr="005076FA">
        <w:rPr>
          <w:rFonts w:ascii="Arial" w:hAnsi="Arial" w:cs="Arial"/>
        </w:rPr>
        <w:t>E</w:t>
      </w:r>
      <w:r w:rsidRPr="005076FA">
        <w:rPr>
          <w:rFonts w:ascii="Arial" w:hAnsi="Arial" w:cs="Arial"/>
        </w:rPr>
        <w:t xml:space="preserve">squizofrenia, </w:t>
      </w:r>
    </w:p>
    <w:p w:rsidR="00781F6E" w:rsidRPr="005076FA" w:rsidP="005076FA" w14:paraId="5531F71E" w14:textId="680ACA3C">
      <w:pPr>
        <w:pStyle w:val="ListParagraph"/>
        <w:numPr>
          <w:ilvl w:val="0"/>
          <w:numId w:val="7"/>
        </w:numPr>
        <w:ind w:firstLine="196"/>
        <w:jc w:val="both"/>
        <w:rPr>
          <w:rFonts w:ascii="Arial" w:hAnsi="Arial" w:cs="Arial"/>
        </w:rPr>
      </w:pPr>
      <w:r w:rsidRPr="005076FA">
        <w:rPr>
          <w:rFonts w:ascii="Arial" w:hAnsi="Arial" w:cs="Arial"/>
        </w:rPr>
        <w:t>T</w:t>
      </w:r>
      <w:r w:rsidRPr="005076FA">
        <w:rPr>
          <w:rFonts w:ascii="Arial" w:hAnsi="Arial" w:cs="Arial"/>
        </w:rPr>
        <w:t xml:space="preserve">ranstorno bipolar, </w:t>
      </w:r>
    </w:p>
    <w:p w:rsidR="00781F6E" w:rsidRPr="005076FA" w:rsidP="005076FA" w14:paraId="206DC7F9" w14:textId="05C3C2FE">
      <w:pPr>
        <w:pStyle w:val="ListParagraph"/>
        <w:numPr>
          <w:ilvl w:val="0"/>
          <w:numId w:val="7"/>
        </w:numPr>
        <w:ind w:firstLine="196"/>
        <w:jc w:val="both"/>
        <w:rPr>
          <w:rFonts w:ascii="Arial" w:hAnsi="Arial" w:cs="Arial"/>
        </w:rPr>
      </w:pPr>
      <w:r w:rsidRPr="005076FA">
        <w:rPr>
          <w:rFonts w:ascii="Arial" w:hAnsi="Arial" w:cs="Arial"/>
        </w:rPr>
        <w:t>Demais Doenças</w:t>
      </w:r>
      <w:r w:rsidRPr="005076FA">
        <w:rPr>
          <w:rFonts w:ascii="Arial" w:hAnsi="Arial" w:cs="Arial"/>
        </w:rPr>
        <w:t xml:space="preserve"> que resultem em incapacidade laboral permanente.</w:t>
      </w:r>
    </w:p>
    <w:p w:rsidR="00781F6E" w:rsidRPr="005076FA" w:rsidP="005076FA" w14:paraId="2E9D4F3C" w14:textId="77777777">
      <w:pPr>
        <w:jc w:val="both"/>
        <w:rPr>
          <w:rFonts w:ascii="Arial" w:hAnsi="Arial" w:cs="Arial"/>
        </w:rPr>
      </w:pPr>
    </w:p>
    <w:p w:rsidR="000D502F" w:rsidP="005076FA" w14:paraId="5E3BFA3F" w14:textId="77777777">
      <w:pPr>
        <w:ind w:left="1134"/>
        <w:jc w:val="both"/>
        <w:rPr>
          <w:rFonts w:ascii="Arial" w:hAnsi="Arial" w:cs="Arial"/>
          <w:b/>
          <w:bCs/>
        </w:rPr>
      </w:pPr>
    </w:p>
    <w:p w:rsidR="00781F6E" w:rsidRPr="005076FA" w:rsidP="005076FA" w14:paraId="436B4D21" w14:textId="08B649FA">
      <w:pPr>
        <w:ind w:left="1134"/>
        <w:jc w:val="both"/>
        <w:rPr>
          <w:rFonts w:ascii="Arial" w:hAnsi="Arial" w:cs="Arial"/>
        </w:rPr>
      </w:pPr>
      <w:r w:rsidRPr="005076FA">
        <w:rPr>
          <w:rFonts w:ascii="Arial" w:hAnsi="Arial" w:cs="Arial"/>
          <w:b/>
          <w:bCs/>
        </w:rPr>
        <w:t>§1º</w:t>
      </w:r>
      <w:r w:rsidRPr="005076FA">
        <w:rPr>
          <w:rFonts w:ascii="Arial" w:hAnsi="Arial" w:cs="Arial"/>
        </w:rPr>
        <w:t xml:space="preserve"> A comprovação da doença deverá ser feita por laudo médico com CID, emitido por médico do SUS ou instituição conveniada, com validade de até 12 (doze) meses.</w:t>
      </w:r>
    </w:p>
    <w:p w:rsidR="008E3380" w:rsidRPr="005076FA" w:rsidP="005076FA" w14:paraId="3F579E8D" w14:textId="77777777">
      <w:pPr>
        <w:ind w:left="1134"/>
        <w:jc w:val="both"/>
        <w:rPr>
          <w:rFonts w:ascii="Arial" w:hAnsi="Arial" w:cs="Arial"/>
        </w:rPr>
      </w:pPr>
    </w:p>
    <w:p w:rsidR="00781F6E" w:rsidRPr="005076FA" w:rsidP="005076FA" w14:paraId="2BD6ECC5" w14:textId="77777777">
      <w:pPr>
        <w:ind w:firstLine="1134"/>
        <w:jc w:val="both"/>
        <w:rPr>
          <w:rFonts w:ascii="Arial" w:hAnsi="Arial" w:cs="Arial"/>
        </w:rPr>
      </w:pPr>
      <w:r w:rsidRPr="00CA2292">
        <w:rPr>
          <w:rFonts w:ascii="Arial" w:hAnsi="Arial" w:cs="Arial"/>
          <w:b/>
          <w:bCs/>
        </w:rPr>
        <w:t xml:space="preserve">Art. 2º </w:t>
      </w:r>
      <w:r w:rsidRPr="005076FA">
        <w:rPr>
          <w:rFonts w:ascii="Arial" w:hAnsi="Arial" w:cs="Arial"/>
        </w:rPr>
        <w:t>A isenção será concedida para o imóvel de uso exclusivamente residencial, que esteja em nome do requerente ou de seu representante legal e que sirva como moradia permanente da pessoa portadora da doença.</w:t>
      </w:r>
    </w:p>
    <w:p w:rsidR="00781F6E" w:rsidRPr="005076FA" w:rsidP="005076FA" w14:paraId="6A971000" w14:textId="77777777">
      <w:pPr>
        <w:ind w:left="1134"/>
        <w:jc w:val="both"/>
        <w:rPr>
          <w:rFonts w:ascii="Arial" w:hAnsi="Arial" w:cs="Arial"/>
        </w:rPr>
      </w:pPr>
      <w:r w:rsidRPr="005076FA">
        <w:rPr>
          <w:rFonts w:ascii="Arial" w:hAnsi="Arial" w:cs="Arial"/>
          <w:b/>
          <w:bCs/>
        </w:rPr>
        <w:t>§1º</w:t>
      </w:r>
      <w:r w:rsidRPr="005076FA">
        <w:rPr>
          <w:rFonts w:ascii="Arial" w:hAnsi="Arial" w:cs="Arial"/>
        </w:rPr>
        <w:t xml:space="preserve"> Poderá ser concedida a isenção mesmo quando o imóvel estiver em nome de familiar direto, desde que comprovado o vínculo e a residência comum com o portador da enfermidade.</w:t>
      </w:r>
    </w:p>
    <w:p w:rsidR="00781F6E" w:rsidRPr="005076FA" w:rsidP="005076FA" w14:paraId="03087A46" w14:textId="77777777">
      <w:pPr>
        <w:ind w:left="1134"/>
        <w:jc w:val="both"/>
        <w:rPr>
          <w:rFonts w:ascii="Arial" w:hAnsi="Arial" w:cs="Arial"/>
        </w:rPr>
      </w:pPr>
      <w:r w:rsidRPr="005076FA">
        <w:rPr>
          <w:rFonts w:ascii="Arial" w:hAnsi="Arial" w:cs="Arial"/>
          <w:b/>
          <w:bCs/>
        </w:rPr>
        <w:t>§2º</w:t>
      </w:r>
      <w:r w:rsidRPr="005076FA">
        <w:rPr>
          <w:rFonts w:ascii="Arial" w:hAnsi="Arial" w:cs="Arial"/>
        </w:rPr>
        <w:t xml:space="preserve"> Para ter direito à isenção, o requerente ou beneficiário deverá estar devidamente inscrito no Cadastro Único para Programas Sociais do Governo Federal (</w:t>
      </w:r>
      <w:r w:rsidRPr="005076FA">
        <w:rPr>
          <w:rFonts w:ascii="Arial" w:hAnsi="Arial" w:cs="Arial"/>
        </w:rPr>
        <w:t>CadÚnico</w:t>
      </w:r>
      <w:r w:rsidRPr="005076FA">
        <w:rPr>
          <w:rFonts w:ascii="Arial" w:hAnsi="Arial" w:cs="Arial"/>
        </w:rPr>
        <w:t>), com dados atualizados nos últimos 12 (doze) meses.</w:t>
      </w:r>
    </w:p>
    <w:p w:rsidR="008E3380" w:rsidRPr="005076FA" w:rsidP="005076FA" w14:paraId="01C8DACF" w14:textId="77777777">
      <w:pPr>
        <w:ind w:left="1134"/>
        <w:jc w:val="both"/>
        <w:rPr>
          <w:rFonts w:ascii="Arial" w:hAnsi="Arial" w:cs="Arial"/>
        </w:rPr>
      </w:pPr>
    </w:p>
    <w:p w:rsidR="00781F6E" w:rsidRPr="005076FA" w:rsidP="005076FA" w14:paraId="13A5B67E" w14:textId="77777777">
      <w:pPr>
        <w:ind w:firstLine="1134"/>
        <w:jc w:val="both"/>
        <w:rPr>
          <w:rFonts w:ascii="Arial" w:hAnsi="Arial" w:cs="Arial"/>
        </w:rPr>
      </w:pPr>
      <w:r w:rsidRPr="00CA2292">
        <w:rPr>
          <w:rFonts w:ascii="Arial" w:hAnsi="Arial" w:cs="Arial"/>
          <w:b/>
          <w:bCs/>
        </w:rPr>
        <w:t xml:space="preserve">Art. 3º </w:t>
      </w:r>
      <w:r w:rsidRPr="005076FA">
        <w:rPr>
          <w:rFonts w:ascii="Arial" w:hAnsi="Arial" w:cs="Arial"/>
        </w:rPr>
        <w:t>Para a formalização e renovação anual do pedido, deverão ser apresentados os seguintes documentos:</w:t>
      </w:r>
    </w:p>
    <w:p w:rsidR="00781F6E" w:rsidRPr="005076FA" w:rsidP="005076FA" w14:paraId="345B2D98" w14:textId="77777777">
      <w:pPr>
        <w:ind w:left="1134"/>
        <w:jc w:val="both"/>
        <w:rPr>
          <w:rFonts w:ascii="Arial" w:hAnsi="Arial" w:cs="Arial"/>
        </w:rPr>
      </w:pPr>
      <w:r w:rsidRPr="005076FA">
        <w:rPr>
          <w:rFonts w:ascii="Arial" w:hAnsi="Arial" w:cs="Arial"/>
          <w:b/>
          <w:bCs/>
        </w:rPr>
        <w:t xml:space="preserve">I </w:t>
      </w:r>
      <w:r w:rsidRPr="005076FA">
        <w:rPr>
          <w:rFonts w:ascii="Arial" w:hAnsi="Arial" w:cs="Arial"/>
        </w:rPr>
        <w:t>– Documentos pessoais do requerente e do beneficiário (RG, CPF);</w:t>
      </w:r>
    </w:p>
    <w:p w:rsidR="00781F6E" w:rsidRPr="005076FA" w:rsidP="005076FA" w14:paraId="28F0FC28" w14:textId="77777777">
      <w:pPr>
        <w:ind w:left="1134"/>
        <w:jc w:val="both"/>
        <w:rPr>
          <w:rFonts w:ascii="Arial" w:hAnsi="Arial" w:cs="Arial"/>
        </w:rPr>
      </w:pPr>
      <w:r w:rsidRPr="005076FA">
        <w:rPr>
          <w:rFonts w:ascii="Arial" w:hAnsi="Arial" w:cs="Arial"/>
          <w:b/>
          <w:bCs/>
        </w:rPr>
        <w:t>II</w:t>
      </w:r>
      <w:r w:rsidRPr="005076FA">
        <w:rPr>
          <w:rFonts w:ascii="Arial" w:hAnsi="Arial" w:cs="Arial"/>
        </w:rPr>
        <w:t xml:space="preserve"> – Comprovante de residência (contas de água, luz ou telefone);</w:t>
      </w:r>
    </w:p>
    <w:p w:rsidR="00781F6E" w:rsidRPr="005076FA" w:rsidP="005076FA" w14:paraId="40065F80" w14:textId="77777777">
      <w:pPr>
        <w:ind w:left="1134"/>
        <w:jc w:val="both"/>
        <w:rPr>
          <w:rFonts w:ascii="Arial" w:hAnsi="Arial" w:cs="Arial"/>
        </w:rPr>
      </w:pPr>
      <w:r w:rsidRPr="005076FA">
        <w:rPr>
          <w:rFonts w:ascii="Arial" w:hAnsi="Arial" w:cs="Arial"/>
          <w:b/>
          <w:bCs/>
        </w:rPr>
        <w:t>III</w:t>
      </w:r>
      <w:r w:rsidRPr="005076FA">
        <w:rPr>
          <w:rFonts w:ascii="Arial" w:hAnsi="Arial" w:cs="Arial"/>
        </w:rPr>
        <w:t xml:space="preserve"> – Carnê do IPTU;</w:t>
      </w:r>
    </w:p>
    <w:p w:rsidR="00781F6E" w:rsidRPr="005076FA" w:rsidP="005076FA" w14:paraId="4F8A8A97" w14:textId="77777777">
      <w:pPr>
        <w:ind w:left="1134"/>
        <w:jc w:val="both"/>
        <w:rPr>
          <w:rFonts w:ascii="Arial" w:hAnsi="Arial" w:cs="Arial"/>
        </w:rPr>
      </w:pPr>
      <w:r w:rsidRPr="005076FA">
        <w:rPr>
          <w:rFonts w:ascii="Arial" w:hAnsi="Arial" w:cs="Arial"/>
          <w:b/>
          <w:bCs/>
        </w:rPr>
        <w:t>IV</w:t>
      </w:r>
      <w:r w:rsidRPr="005076FA">
        <w:rPr>
          <w:rFonts w:ascii="Arial" w:hAnsi="Arial" w:cs="Arial"/>
        </w:rPr>
        <w:t xml:space="preserve"> – Comprovante de renda familiar (holerite, declaração de rendimentos ou extrato de benefício do INSS);</w:t>
      </w:r>
    </w:p>
    <w:p w:rsidR="00781F6E" w:rsidRPr="005076FA" w:rsidP="005076FA" w14:paraId="10F39B93" w14:textId="77777777">
      <w:pPr>
        <w:ind w:left="1134"/>
        <w:jc w:val="both"/>
        <w:rPr>
          <w:rFonts w:ascii="Arial" w:hAnsi="Arial" w:cs="Arial"/>
        </w:rPr>
      </w:pPr>
      <w:r w:rsidRPr="005076FA">
        <w:rPr>
          <w:rFonts w:ascii="Arial" w:hAnsi="Arial" w:cs="Arial"/>
          <w:b/>
          <w:bCs/>
        </w:rPr>
        <w:t xml:space="preserve">V </w:t>
      </w:r>
      <w:r w:rsidRPr="005076FA">
        <w:rPr>
          <w:rFonts w:ascii="Arial" w:hAnsi="Arial" w:cs="Arial"/>
        </w:rPr>
        <w:t>– Laudo médico atualizado com CID da doença;</w:t>
      </w:r>
    </w:p>
    <w:p w:rsidR="00781F6E" w:rsidRPr="005076FA" w:rsidP="005076FA" w14:paraId="6CA40C46" w14:textId="77777777">
      <w:pPr>
        <w:ind w:left="1134"/>
        <w:jc w:val="both"/>
        <w:rPr>
          <w:rFonts w:ascii="Arial" w:hAnsi="Arial" w:cs="Arial"/>
        </w:rPr>
      </w:pPr>
      <w:r w:rsidRPr="005076FA">
        <w:rPr>
          <w:rFonts w:ascii="Arial" w:hAnsi="Arial" w:cs="Arial"/>
          <w:b/>
          <w:bCs/>
        </w:rPr>
        <w:t xml:space="preserve">VI </w:t>
      </w:r>
      <w:r w:rsidRPr="005076FA">
        <w:rPr>
          <w:rFonts w:ascii="Arial" w:hAnsi="Arial" w:cs="Arial"/>
        </w:rPr>
        <w:t xml:space="preserve">– Comprovação de inscrição ativa no </w:t>
      </w:r>
      <w:r w:rsidRPr="005076FA">
        <w:rPr>
          <w:rFonts w:ascii="Arial" w:hAnsi="Arial" w:cs="Arial"/>
        </w:rPr>
        <w:t>CadÚnico</w:t>
      </w:r>
      <w:r w:rsidRPr="005076FA">
        <w:rPr>
          <w:rFonts w:ascii="Arial" w:hAnsi="Arial" w:cs="Arial"/>
        </w:rPr>
        <w:t>;</w:t>
      </w:r>
    </w:p>
    <w:p w:rsidR="00781F6E" w:rsidRPr="005076FA" w:rsidP="005076FA" w14:paraId="6C77CA45" w14:textId="77777777">
      <w:pPr>
        <w:ind w:left="1134"/>
        <w:jc w:val="both"/>
        <w:rPr>
          <w:rFonts w:ascii="Arial" w:hAnsi="Arial" w:cs="Arial"/>
        </w:rPr>
      </w:pPr>
      <w:r w:rsidRPr="005076FA">
        <w:rPr>
          <w:rFonts w:ascii="Arial" w:hAnsi="Arial" w:cs="Arial"/>
          <w:b/>
          <w:bCs/>
        </w:rPr>
        <w:t>VII</w:t>
      </w:r>
      <w:r w:rsidRPr="005076FA">
        <w:rPr>
          <w:rFonts w:ascii="Arial" w:hAnsi="Arial" w:cs="Arial"/>
        </w:rPr>
        <w:t xml:space="preserve"> – Prova de titularidade ou posse do imóvel, ou declaração de residência firmada em cartório;</w:t>
      </w:r>
    </w:p>
    <w:p w:rsidR="00781F6E" w:rsidRPr="005076FA" w:rsidP="005076FA" w14:paraId="4A97A82F" w14:textId="77777777">
      <w:pPr>
        <w:ind w:left="1134"/>
        <w:jc w:val="both"/>
        <w:rPr>
          <w:rFonts w:ascii="Arial" w:hAnsi="Arial" w:cs="Arial"/>
        </w:rPr>
      </w:pPr>
      <w:r w:rsidRPr="005076FA">
        <w:rPr>
          <w:rFonts w:ascii="Arial" w:hAnsi="Arial" w:cs="Arial"/>
          <w:b/>
          <w:bCs/>
        </w:rPr>
        <w:t>VIII</w:t>
      </w:r>
      <w:r w:rsidRPr="005076FA">
        <w:rPr>
          <w:rFonts w:ascii="Arial" w:hAnsi="Arial" w:cs="Arial"/>
        </w:rPr>
        <w:t xml:space="preserve"> – Declaração de que o imóvel é utilizado exclusivamente como moradia do beneficiário.</w:t>
      </w:r>
    </w:p>
    <w:p w:rsidR="00781F6E" w:rsidRPr="005076FA" w:rsidP="005076FA" w14:paraId="478485D9" w14:textId="77777777">
      <w:pPr>
        <w:ind w:left="1134"/>
        <w:jc w:val="both"/>
        <w:rPr>
          <w:rFonts w:ascii="Arial" w:hAnsi="Arial" w:cs="Arial"/>
        </w:rPr>
      </w:pPr>
      <w:r w:rsidRPr="005076FA">
        <w:rPr>
          <w:rFonts w:ascii="Arial" w:hAnsi="Arial" w:cs="Arial"/>
          <w:b/>
          <w:bCs/>
        </w:rPr>
        <w:t>§1º</w:t>
      </w:r>
      <w:r w:rsidRPr="005076FA">
        <w:rPr>
          <w:rFonts w:ascii="Arial" w:hAnsi="Arial" w:cs="Arial"/>
        </w:rPr>
        <w:t xml:space="preserve"> A manutenção do benefício está condicionada à reapresentação anual de todos os documentos listados neste artigo.</w:t>
      </w:r>
    </w:p>
    <w:p w:rsidR="00CA2292" w:rsidRPr="00CA2292" w:rsidP="005076FA" w14:paraId="75F0C95D" w14:textId="77777777">
      <w:pPr>
        <w:jc w:val="both"/>
        <w:rPr>
          <w:rFonts w:ascii="Arial" w:hAnsi="Arial" w:cs="Arial"/>
          <w:b/>
          <w:bCs/>
        </w:rPr>
      </w:pPr>
    </w:p>
    <w:p w:rsidR="00781F6E" w:rsidRPr="005076FA" w:rsidP="005076FA" w14:paraId="59C256FD" w14:textId="77777777">
      <w:pPr>
        <w:ind w:firstLine="1134"/>
        <w:jc w:val="both"/>
        <w:rPr>
          <w:rFonts w:ascii="Arial" w:hAnsi="Arial" w:cs="Arial"/>
        </w:rPr>
      </w:pPr>
      <w:r w:rsidRPr="00CA2292">
        <w:rPr>
          <w:rFonts w:ascii="Arial" w:hAnsi="Arial" w:cs="Arial"/>
          <w:b/>
          <w:bCs/>
        </w:rPr>
        <w:t xml:space="preserve">Art. 4º </w:t>
      </w:r>
      <w:r w:rsidRPr="005076FA">
        <w:rPr>
          <w:rFonts w:ascii="Arial" w:hAnsi="Arial" w:cs="Arial"/>
        </w:rPr>
        <w:t>A isenção terá validade de 12 (doze) meses, podendo ser renovada anualmente conforme a persistência da condição de saúde e apresentação da documentação atualizada.</w:t>
      </w:r>
    </w:p>
    <w:p w:rsidR="00781F6E" w:rsidRPr="005076FA" w:rsidP="005076FA" w14:paraId="3852A959" w14:textId="0F900905">
      <w:pPr>
        <w:jc w:val="both"/>
        <w:rPr>
          <w:rFonts w:ascii="Arial" w:hAnsi="Arial" w:cs="Arial"/>
          <w:b/>
          <w:bCs/>
        </w:rPr>
      </w:pPr>
    </w:p>
    <w:p w:rsidR="00781F6E" w:rsidRPr="005076FA" w:rsidP="005076FA" w14:paraId="2BC4A8BF" w14:textId="77777777">
      <w:pPr>
        <w:jc w:val="both"/>
        <w:rPr>
          <w:rFonts w:ascii="Arial" w:hAnsi="Arial" w:cs="Arial"/>
          <w:b/>
          <w:bCs/>
        </w:rPr>
      </w:pPr>
    </w:p>
    <w:p w:rsidR="000D502F" w:rsidP="005076FA" w14:paraId="6F8678A2" w14:textId="77777777">
      <w:pPr>
        <w:ind w:firstLine="1134"/>
        <w:jc w:val="both"/>
        <w:rPr>
          <w:rFonts w:ascii="Arial" w:hAnsi="Arial" w:cs="Arial"/>
          <w:b/>
          <w:bCs/>
        </w:rPr>
      </w:pPr>
    </w:p>
    <w:p w:rsidR="00781F6E" w:rsidRPr="005076FA" w:rsidP="005076FA" w14:paraId="2301DCEA" w14:textId="54E8515E">
      <w:pPr>
        <w:ind w:firstLine="1134"/>
        <w:jc w:val="both"/>
        <w:rPr>
          <w:rFonts w:ascii="Arial" w:hAnsi="Arial" w:cs="Arial"/>
        </w:rPr>
      </w:pPr>
      <w:r w:rsidRPr="00CA2292">
        <w:rPr>
          <w:rFonts w:ascii="Arial" w:hAnsi="Arial" w:cs="Arial"/>
          <w:b/>
          <w:bCs/>
        </w:rPr>
        <w:t>Art. 5º</w:t>
      </w:r>
      <w:r w:rsidRPr="005076FA">
        <w:rPr>
          <w:rFonts w:ascii="Arial" w:hAnsi="Arial" w:cs="Arial"/>
        </w:rPr>
        <w:t xml:space="preserve"> </w:t>
      </w:r>
      <w:r w:rsidRPr="005076FA">
        <w:rPr>
          <w:rFonts w:ascii="Arial" w:hAnsi="Arial" w:cs="Arial"/>
        </w:rPr>
        <w:t>Fica vedada a concessão do benefício a imóveis que:</w:t>
      </w:r>
    </w:p>
    <w:p w:rsidR="00781F6E" w:rsidRPr="005076FA" w:rsidP="005076FA" w14:paraId="15C63071" w14:textId="77777777">
      <w:pPr>
        <w:ind w:firstLine="1134"/>
        <w:jc w:val="both"/>
        <w:rPr>
          <w:rFonts w:ascii="Arial" w:hAnsi="Arial" w:cs="Arial"/>
        </w:rPr>
      </w:pPr>
      <w:r w:rsidRPr="005076FA">
        <w:rPr>
          <w:rFonts w:ascii="Arial" w:hAnsi="Arial" w:cs="Arial"/>
          <w:b/>
          <w:bCs/>
        </w:rPr>
        <w:t xml:space="preserve">I </w:t>
      </w:r>
      <w:r w:rsidRPr="005076FA">
        <w:rPr>
          <w:rFonts w:ascii="Arial" w:hAnsi="Arial" w:cs="Arial"/>
        </w:rPr>
        <w:t>– Sejam utilizados para fins comerciais, industriais ou mistos;</w:t>
      </w:r>
    </w:p>
    <w:p w:rsidR="00781F6E" w:rsidRPr="005076FA" w:rsidP="005076FA" w14:paraId="6F3D19DE" w14:textId="77777777">
      <w:pPr>
        <w:ind w:firstLine="1134"/>
        <w:jc w:val="both"/>
        <w:rPr>
          <w:rFonts w:ascii="Arial" w:hAnsi="Arial" w:cs="Arial"/>
        </w:rPr>
      </w:pPr>
      <w:r w:rsidRPr="005076FA">
        <w:rPr>
          <w:rFonts w:ascii="Arial" w:hAnsi="Arial" w:cs="Arial"/>
          <w:b/>
          <w:bCs/>
        </w:rPr>
        <w:t>II</w:t>
      </w:r>
      <w:r w:rsidRPr="005076FA">
        <w:rPr>
          <w:rFonts w:ascii="Arial" w:hAnsi="Arial" w:cs="Arial"/>
        </w:rPr>
        <w:t xml:space="preserve"> – Estejam alugados ou emprestados a terceiros.</w:t>
      </w:r>
    </w:p>
    <w:p w:rsidR="008E3380" w:rsidRPr="005076FA" w:rsidP="005076FA" w14:paraId="11AF04D4" w14:textId="77777777">
      <w:pPr>
        <w:jc w:val="both"/>
        <w:rPr>
          <w:rFonts w:ascii="Arial" w:hAnsi="Arial" w:cs="Arial"/>
        </w:rPr>
      </w:pPr>
    </w:p>
    <w:p w:rsidR="00781F6E" w:rsidRPr="005076FA" w:rsidP="005076FA" w14:paraId="3AEF9050" w14:textId="70FC6344">
      <w:pPr>
        <w:ind w:firstLine="1134"/>
        <w:jc w:val="both"/>
        <w:rPr>
          <w:rFonts w:ascii="Arial" w:hAnsi="Arial" w:cs="Arial"/>
        </w:rPr>
      </w:pPr>
      <w:r w:rsidRPr="00CA2292">
        <w:rPr>
          <w:rFonts w:ascii="Arial" w:hAnsi="Arial" w:cs="Arial"/>
          <w:b/>
          <w:bCs/>
        </w:rPr>
        <w:t>Art. 6</w:t>
      </w:r>
      <w:r w:rsidRPr="00CA2292">
        <w:rPr>
          <w:rFonts w:ascii="Arial" w:hAnsi="Arial" w:cs="Arial"/>
          <w:b/>
          <w:bCs/>
        </w:rPr>
        <w:t xml:space="preserve">º </w:t>
      </w:r>
      <w:r w:rsidRPr="005076FA">
        <w:rPr>
          <w:rFonts w:ascii="Arial" w:hAnsi="Arial" w:cs="Arial"/>
        </w:rPr>
        <w:t xml:space="preserve"> O</w:t>
      </w:r>
      <w:r w:rsidRPr="005076FA">
        <w:rPr>
          <w:rFonts w:ascii="Arial" w:hAnsi="Arial" w:cs="Arial"/>
        </w:rPr>
        <w:t xml:space="preserve"> benefício será automaticamente cancelado nos seguintes casos:</w:t>
      </w:r>
    </w:p>
    <w:p w:rsidR="00781F6E" w:rsidRPr="005076FA" w:rsidP="005076FA" w14:paraId="35B4C55A" w14:textId="77777777">
      <w:pPr>
        <w:ind w:firstLine="1134"/>
        <w:jc w:val="both"/>
        <w:rPr>
          <w:rFonts w:ascii="Arial" w:hAnsi="Arial" w:cs="Arial"/>
        </w:rPr>
      </w:pPr>
      <w:r w:rsidRPr="005076FA">
        <w:rPr>
          <w:rFonts w:ascii="Arial" w:hAnsi="Arial" w:cs="Arial"/>
          <w:b/>
          <w:bCs/>
        </w:rPr>
        <w:t>I</w:t>
      </w:r>
      <w:r w:rsidRPr="005076FA">
        <w:rPr>
          <w:rFonts w:ascii="Arial" w:hAnsi="Arial" w:cs="Arial"/>
        </w:rPr>
        <w:t xml:space="preserve"> – Venda do imóvel;</w:t>
      </w:r>
    </w:p>
    <w:p w:rsidR="00781F6E" w:rsidRPr="005076FA" w:rsidP="005076FA" w14:paraId="7303D1CD" w14:textId="77777777">
      <w:pPr>
        <w:ind w:firstLine="1134"/>
        <w:jc w:val="both"/>
        <w:rPr>
          <w:rFonts w:ascii="Arial" w:hAnsi="Arial" w:cs="Arial"/>
        </w:rPr>
      </w:pPr>
      <w:r w:rsidRPr="005076FA">
        <w:rPr>
          <w:rFonts w:ascii="Arial" w:hAnsi="Arial" w:cs="Arial"/>
          <w:b/>
          <w:bCs/>
        </w:rPr>
        <w:t>II</w:t>
      </w:r>
      <w:r w:rsidRPr="005076FA">
        <w:rPr>
          <w:rFonts w:ascii="Arial" w:hAnsi="Arial" w:cs="Arial"/>
        </w:rPr>
        <w:t xml:space="preserve"> – Falecimento do beneficiário sem novo requerimento de familiar elegível;</w:t>
      </w:r>
    </w:p>
    <w:p w:rsidR="00781F6E" w:rsidRPr="005076FA" w:rsidP="005076FA" w14:paraId="7494A9F1" w14:textId="77777777">
      <w:pPr>
        <w:ind w:firstLine="1134"/>
        <w:jc w:val="both"/>
        <w:rPr>
          <w:rFonts w:ascii="Arial" w:hAnsi="Arial" w:cs="Arial"/>
        </w:rPr>
      </w:pPr>
      <w:r w:rsidRPr="005076FA">
        <w:rPr>
          <w:rFonts w:ascii="Arial" w:hAnsi="Arial" w:cs="Arial"/>
          <w:b/>
          <w:bCs/>
        </w:rPr>
        <w:t>III</w:t>
      </w:r>
      <w:r w:rsidRPr="005076FA">
        <w:rPr>
          <w:rFonts w:ascii="Arial" w:hAnsi="Arial" w:cs="Arial"/>
        </w:rPr>
        <w:t xml:space="preserve"> – Constatação de má-fé ou falsidade documental;</w:t>
      </w:r>
    </w:p>
    <w:p w:rsidR="00781F6E" w:rsidRPr="005076FA" w:rsidP="005076FA" w14:paraId="06488827" w14:textId="77777777">
      <w:pPr>
        <w:ind w:firstLine="1134"/>
        <w:jc w:val="both"/>
        <w:rPr>
          <w:rFonts w:ascii="Arial" w:hAnsi="Arial" w:cs="Arial"/>
        </w:rPr>
      </w:pPr>
      <w:r w:rsidRPr="005076FA">
        <w:rPr>
          <w:rFonts w:ascii="Arial" w:hAnsi="Arial" w:cs="Arial"/>
          <w:b/>
          <w:bCs/>
        </w:rPr>
        <w:t>IV</w:t>
      </w:r>
      <w:r w:rsidRPr="005076FA">
        <w:rPr>
          <w:rFonts w:ascii="Arial" w:hAnsi="Arial" w:cs="Arial"/>
        </w:rPr>
        <w:t xml:space="preserve"> – Não reapresentação anual dos documentos exigidos.</w:t>
      </w:r>
    </w:p>
    <w:p w:rsidR="008E3380" w:rsidRPr="005076FA" w:rsidP="005076FA" w14:paraId="3F1ACEEA" w14:textId="77777777">
      <w:pPr>
        <w:jc w:val="both"/>
        <w:rPr>
          <w:rFonts w:ascii="Arial" w:hAnsi="Arial" w:cs="Arial"/>
        </w:rPr>
      </w:pPr>
    </w:p>
    <w:p w:rsidR="00781F6E" w:rsidRPr="005076FA" w:rsidP="005076FA" w14:paraId="47E6B7ED" w14:textId="77777777">
      <w:pPr>
        <w:ind w:firstLine="1134"/>
        <w:jc w:val="both"/>
        <w:rPr>
          <w:rFonts w:ascii="Arial" w:hAnsi="Arial" w:cs="Arial"/>
        </w:rPr>
      </w:pPr>
      <w:r w:rsidRPr="00CA2292">
        <w:rPr>
          <w:rFonts w:ascii="Arial" w:hAnsi="Arial" w:cs="Arial"/>
          <w:b/>
          <w:bCs/>
        </w:rPr>
        <w:t xml:space="preserve">Art. 7º </w:t>
      </w:r>
      <w:r w:rsidRPr="005076FA">
        <w:rPr>
          <w:rFonts w:ascii="Arial" w:hAnsi="Arial" w:cs="Arial"/>
        </w:rPr>
        <w:t>O Poder Executivo regulamentará esta Lei no prazo de até 90 (noventa) dias, podendo incluir sistema digital para análise e renovação dos pedidos.</w:t>
      </w:r>
    </w:p>
    <w:p w:rsidR="008E3380" w:rsidRPr="005076FA" w:rsidP="005076FA" w14:paraId="736A99BA" w14:textId="77777777">
      <w:pPr>
        <w:ind w:firstLine="1134"/>
        <w:jc w:val="both"/>
        <w:rPr>
          <w:rFonts w:ascii="Arial" w:hAnsi="Arial" w:cs="Arial"/>
        </w:rPr>
      </w:pPr>
    </w:p>
    <w:p w:rsidR="00781F6E" w:rsidRPr="005076FA" w:rsidP="005076FA" w14:paraId="7972BC25" w14:textId="77777777">
      <w:pPr>
        <w:ind w:firstLine="1134"/>
        <w:jc w:val="both"/>
        <w:rPr>
          <w:rFonts w:ascii="Arial" w:hAnsi="Arial" w:cs="Arial"/>
        </w:rPr>
      </w:pPr>
      <w:r w:rsidRPr="005076FA">
        <w:rPr>
          <w:rFonts w:ascii="Arial" w:hAnsi="Arial" w:cs="Arial"/>
          <w:b/>
          <w:bCs/>
        </w:rPr>
        <w:t>Art. 8º</w:t>
      </w:r>
      <w:r w:rsidRPr="005076FA">
        <w:rPr>
          <w:rFonts w:ascii="Arial" w:hAnsi="Arial" w:cs="Arial"/>
        </w:rPr>
        <w:t xml:space="preserve"> Esta Lei entra em vigor na data de sua publicação, revogadas as disposições em contrário.</w:t>
      </w:r>
    </w:p>
    <w:p w:rsidR="00781F6E" w:rsidRPr="005076FA" w:rsidP="005076FA" w14:paraId="314B0573" w14:textId="41A8CA75">
      <w:pPr>
        <w:jc w:val="both"/>
        <w:rPr>
          <w:rFonts w:ascii="Arial" w:hAnsi="Arial" w:cs="Arial"/>
          <w:b/>
          <w:bCs/>
        </w:rPr>
      </w:pPr>
    </w:p>
    <w:p w:rsidR="00CA2292" w:rsidRPr="00CA2292" w:rsidP="005076FA" w14:paraId="33B81C84" w14:textId="58312D84">
      <w:pPr>
        <w:jc w:val="center"/>
        <w:rPr>
          <w:rFonts w:ascii="Arial" w:hAnsi="Arial" w:cs="Arial"/>
        </w:rPr>
      </w:pPr>
      <w:r w:rsidRPr="005076FA">
        <w:rPr>
          <w:rFonts w:ascii="Arial" w:hAnsi="Arial" w:cs="Arial"/>
        </w:rPr>
        <w:t>s</w:t>
      </w:r>
      <w:r w:rsidRPr="00CA2292">
        <w:rPr>
          <w:rFonts w:ascii="Arial" w:hAnsi="Arial" w:cs="Arial"/>
        </w:rPr>
        <w:t>ala das sessões, 0</w:t>
      </w:r>
      <w:r w:rsidRPr="005076FA">
        <w:rPr>
          <w:rFonts w:ascii="Arial" w:hAnsi="Arial" w:cs="Arial"/>
        </w:rPr>
        <w:t>5</w:t>
      </w:r>
      <w:r w:rsidRPr="00CA2292">
        <w:rPr>
          <w:rFonts w:ascii="Arial" w:hAnsi="Arial" w:cs="Arial"/>
        </w:rPr>
        <w:t xml:space="preserve"> de </w:t>
      </w:r>
      <w:r w:rsidRPr="005076FA">
        <w:rPr>
          <w:rFonts w:ascii="Arial" w:hAnsi="Arial" w:cs="Arial"/>
        </w:rPr>
        <w:t>Junho</w:t>
      </w:r>
      <w:r w:rsidRPr="005076FA">
        <w:rPr>
          <w:rFonts w:ascii="Arial" w:hAnsi="Arial" w:cs="Arial"/>
        </w:rPr>
        <w:t xml:space="preserve"> </w:t>
      </w:r>
      <w:r w:rsidRPr="00CA2292">
        <w:rPr>
          <w:rFonts w:ascii="Arial" w:hAnsi="Arial" w:cs="Arial"/>
        </w:rPr>
        <w:t>de 2025.</w:t>
      </w:r>
    </w:p>
    <w:p w:rsidR="00CA2292" w:rsidRPr="00CA2292" w:rsidP="005076FA" w14:paraId="392AB01F" w14:textId="77777777">
      <w:pPr>
        <w:jc w:val="center"/>
        <w:rPr>
          <w:rFonts w:ascii="Arial" w:hAnsi="Arial" w:cs="Arial"/>
        </w:rPr>
      </w:pPr>
    </w:p>
    <w:p w:rsidR="00CA2292" w:rsidRPr="00CA2292" w:rsidP="005076FA" w14:paraId="35B369A2" w14:textId="77777777">
      <w:pPr>
        <w:jc w:val="center"/>
        <w:rPr>
          <w:rFonts w:ascii="Arial" w:hAnsi="Arial" w:cs="Arial"/>
        </w:rPr>
      </w:pPr>
    </w:p>
    <w:p w:rsidR="00CA2292" w:rsidRPr="00CA2292" w:rsidP="005076FA" w14:paraId="3EE8338F" w14:textId="77777777">
      <w:pPr>
        <w:jc w:val="center"/>
        <w:rPr>
          <w:rFonts w:ascii="Arial" w:hAnsi="Arial" w:cs="Arial"/>
        </w:rPr>
      </w:pPr>
    </w:p>
    <w:p w:rsidR="00CA2292" w:rsidRPr="00CA2292" w:rsidP="005076FA" w14:paraId="6D0EC844" w14:textId="77777777">
      <w:pPr>
        <w:jc w:val="center"/>
        <w:rPr>
          <w:rFonts w:ascii="Arial" w:hAnsi="Arial" w:cs="Arial"/>
          <w:b/>
          <w:bCs/>
        </w:rPr>
      </w:pPr>
      <w:r w:rsidRPr="00CA2292">
        <w:rPr>
          <w:rFonts w:ascii="Arial" w:hAnsi="Arial" w:cs="Arial"/>
          <w:b/>
          <w:bCs/>
        </w:rPr>
        <w:t>HÉLIO SILVA</w:t>
      </w:r>
    </w:p>
    <w:p w:rsidR="00CA2292" w:rsidRPr="00CA2292" w:rsidP="005076FA" w14:paraId="6B25D84E" w14:textId="77777777">
      <w:pPr>
        <w:jc w:val="center"/>
        <w:rPr>
          <w:rFonts w:ascii="Arial" w:hAnsi="Arial" w:cs="Arial"/>
          <w:b/>
          <w:bCs/>
        </w:rPr>
      </w:pPr>
      <w:r w:rsidRPr="00CA2292">
        <w:rPr>
          <w:rFonts w:ascii="Arial" w:hAnsi="Arial" w:cs="Arial"/>
          <w:b/>
          <w:bCs/>
        </w:rPr>
        <w:t>VEREADOR PRESIDENTE</w:t>
      </w:r>
    </w:p>
    <w:p w:rsidR="00CA2292" w:rsidRPr="00CA2292" w:rsidP="005076FA" w14:paraId="25E80F11" w14:textId="77777777">
      <w:pPr>
        <w:jc w:val="both"/>
        <w:rPr>
          <w:rFonts w:ascii="Arial" w:hAnsi="Arial" w:cs="Arial"/>
        </w:rPr>
      </w:pPr>
    </w:p>
    <w:p w:rsidR="00CA2292" w:rsidRPr="00CA2292" w:rsidP="005076FA" w14:paraId="5296B3D9" w14:textId="77777777">
      <w:pPr>
        <w:jc w:val="both"/>
        <w:rPr>
          <w:rFonts w:ascii="Arial" w:hAnsi="Arial" w:cs="Arial"/>
        </w:rPr>
      </w:pPr>
    </w:p>
    <w:p w:rsidR="00CA2292" w:rsidRPr="00CA2292" w:rsidP="005076FA" w14:paraId="7A7E8044" w14:textId="77777777">
      <w:pPr>
        <w:jc w:val="both"/>
        <w:rPr>
          <w:rFonts w:ascii="Arial" w:hAnsi="Arial" w:cs="Arial"/>
        </w:rPr>
      </w:pPr>
    </w:p>
    <w:p w:rsidR="00CA2292" w:rsidRPr="00CA2292" w:rsidP="005076FA" w14:paraId="620BBB3E" w14:textId="77777777">
      <w:pPr>
        <w:jc w:val="both"/>
        <w:rPr>
          <w:rFonts w:ascii="Arial" w:hAnsi="Arial" w:cs="Arial"/>
        </w:rPr>
      </w:pPr>
    </w:p>
    <w:p w:rsidR="00CA2292" w:rsidRPr="00CA2292" w:rsidP="005076FA" w14:paraId="771B342E" w14:textId="77777777">
      <w:pPr>
        <w:jc w:val="both"/>
        <w:rPr>
          <w:rFonts w:ascii="Arial" w:hAnsi="Arial" w:cs="Arial"/>
        </w:rPr>
      </w:pPr>
    </w:p>
    <w:p w:rsidR="00CA2292" w:rsidRPr="00CA2292" w:rsidP="005076FA" w14:paraId="69ADAFCF" w14:textId="77777777">
      <w:pPr>
        <w:jc w:val="both"/>
        <w:rPr>
          <w:rFonts w:ascii="Arial" w:hAnsi="Arial" w:cs="Arial"/>
        </w:rPr>
      </w:pPr>
    </w:p>
    <w:p w:rsidR="00CA2292" w:rsidRPr="00CA2292" w:rsidP="005076FA" w14:paraId="473E9601" w14:textId="77777777">
      <w:pPr>
        <w:jc w:val="both"/>
        <w:rPr>
          <w:rFonts w:ascii="Arial" w:hAnsi="Arial" w:cs="Arial"/>
        </w:rPr>
      </w:pPr>
    </w:p>
    <w:p w:rsidR="005076FA" w:rsidP="005076FA" w14:paraId="0E59C05A" w14:textId="77777777">
      <w:pPr>
        <w:jc w:val="center"/>
        <w:rPr>
          <w:rFonts w:ascii="Arial" w:hAnsi="Arial" w:cs="Arial"/>
        </w:rPr>
      </w:pPr>
      <w:r w:rsidRPr="00CA2292">
        <w:rPr>
          <w:rFonts w:ascii="Arial" w:hAnsi="Arial" w:cs="Arial"/>
        </w:rPr>
        <w:br w:type="page"/>
      </w:r>
    </w:p>
    <w:p w:rsidR="00CA2292" w:rsidRPr="00CA2292" w:rsidP="005076FA" w14:paraId="470D7D3A" w14:textId="56AEE37B">
      <w:pPr>
        <w:jc w:val="center"/>
        <w:rPr>
          <w:rFonts w:ascii="Arial" w:hAnsi="Arial" w:cs="Arial"/>
        </w:rPr>
      </w:pPr>
      <w:r w:rsidRPr="00CA2292">
        <w:rPr>
          <w:rFonts w:ascii="Arial" w:hAnsi="Arial" w:cs="Arial"/>
          <w:b/>
          <w:bCs/>
        </w:rPr>
        <w:t>JUSTIFICATIVA</w:t>
      </w:r>
    </w:p>
    <w:p w:rsidR="00CA2292" w:rsidRPr="00CA2292" w:rsidP="005076FA" w14:paraId="6B8A043E" w14:textId="77777777">
      <w:pPr>
        <w:jc w:val="both"/>
        <w:rPr>
          <w:rFonts w:ascii="Arial" w:hAnsi="Arial" w:cs="Arial"/>
        </w:rPr>
      </w:pPr>
    </w:p>
    <w:p w:rsidR="00CA2292" w:rsidRPr="00CA2292" w:rsidP="005076FA" w14:paraId="28D1A720" w14:textId="77777777">
      <w:pPr>
        <w:jc w:val="both"/>
        <w:rPr>
          <w:rFonts w:ascii="Arial" w:hAnsi="Arial" w:cs="Arial"/>
        </w:rPr>
      </w:pPr>
      <w:r w:rsidRPr="00CA2292">
        <w:rPr>
          <w:rFonts w:ascii="Arial" w:hAnsi="Arial" w:cs="Arial"/>
        </w:rPr>
        <w:t>O presente projeto de lei tem por objetivo assegurar um direito fundamental às famílias que enfrentam o desafio de cuidar de um ente querido acometido por uma enfermidade grave.</w:t>
      </w:r>
    </w:p>
    <w:p w:rsidR="00CA2292" w:rsidRPr="00CA2292" w:rsidP="005076FA" w14:paraId="0E053FFC" w14:textId="77777777">
      <w:pPr>
        <w:jc w:val="both"/>
        <w:rPr>
          <w:rFonts w:ascii="Arial" w:hAnsi="Arial" w:cs="Arial"/>
        </w:rPr>
      </w:pPr>
      <w:r w:rsidRPr="00CA2292">
        <w:rPr>
          <w:rFonts w:ascii="Arial" w:hAnsi="Arial" w:cs="Arial"/>
        </w:rPr>
        <w:t>Doenças como esclerose lateral amiotrófica (ELA), câncer, esclerose múltipla, doença de Parkinson, entre outras condições incapacitantes, impõem não apenas sofrimento físico e emocional, mas também um grande impacto financeiro sobre os familiares.</w:t>
      </w:r>
    </w:p>
    <w:p w:rsidR="00CA2292" w:rsidRPr="00CA2292" w:rsidP="005076FA" w14:paraId="7A74535A" w14:textId="77777777">
      <w:pPr>
        <w:jc w:val="both"/>
        <w:rPr>
          <w:rFonts w:ascii="Arial" w:hAnsi="Arial" w:cs="Arial"/>
        </w:rPr>
      </w:pPr>
      <w:r w:rsidRPr="00CA2292">
        <w:rPr>
          <w:rFonts w:ascii="Arial" w:hAnsi="Arial" w:cs="Arial"/>
        </w:rPr>
        <w:t>Os custos com tratamentos contínuos, medicamentos de alto custo, internações, terapias, equipamentos médicos e a necessidade de cuidadores ou acompanhantes sobrecarregam economicamente essas famílias. Muitas vezes, um ou mais membros da família precisam reduzir sua jornada de trabalho ou até mesmo abandonar suas atividades profissionais para se dedicarem integralmente ao cuidado do paciente, reduzindo significativamente a renda familiar.</w:t>
      </w:r>
    </w:p>
    <w:p w:rsidR="00CA2292" w:rsidRPr="00CA2292" w:rsidP="005076FA" w14:paraId="5BAE955C" w14:textId="77777777">
      <w:pPr>
        <w:jc w:val="both"/>
        <w:rPr>
          <w:rFonts w:ascii="Arial" w:hAnsi="Arial" w:cs="Arial"/>
        </w:rPr>
      </w:pPr>
      <w:r w:rsidRPr="00CA2292">
        <w:rPr>
          <w:rFonts w:ascii="Arial" w:hAnsi="Arial" w:cs="Arial"/>
        </w:rPr>
        <w:t>A isenção do IPTU e da Taxa de Lixo busca aliviar esse impacto financeiro e proporcionar um suporte efetivo do município, garantindo que os recursos das famílias possam ser direcionados ao tratamento e bem-estar do paciente.</w:t>
      </w:r>
    </w:p>
    <w:p w:rsidR="00CA2292" w:rsidRPr="00CA2292" w:rsidP="005076FA" w14:paraId="53A4D964" w14:textId="77777777">
      <w:pPr>
        <w:jc w:val="both"/>
        <w:rPr>
          <w:rFonts w:ascii="Arial" w:hAnsi="Arial" w:cs="Arial"/>
        </w:rPr>
      </w:pPr>
      <w:r w:rsidRPr="00CA2292">
        <w:rPr>
          <w:rFonts w:ascii="Arial" w:hAnsi="Arial" w:cs="Arial"/>
        </w:rPr>
        <w:t>Dessa forma, a presente proposta reafirma o compromisso do poder público com a dignidade e qualidade de vida dos cidadãos, promovendo justiça social e solidariedade para aqueles que mais necessitam.</w:t>
      </w:r>
    </w:p>
    <w:p w:rsidR="00CA2292" w:rsidP="005076FA" w14:paraId="7634AB8A" w14:textId="77777777">
      <w:pPr>
        <w:jc w:val="both"/>
        <w:rPr>
          <w:rFonts w:ascii="Arial" w:hAnsi="Arial" w:cs="Arial"/>
        </w:rPr>
      </w:pPr>
      <w:r w:rsidRPr="00CA2292">
        <w:rPr>
          <w:rFonts w:ascii="Arial" w:hAnsi="Arial" w:cs="Arial"/>
        </w:rPr>
        <w:t>Diante da importância dessa iniciativa, conto com o apoio dos nobres vereadores para a aprovação deste projeto de lei.</w:t>
      </w:r>
    </w:p>
    <w:p w:rsidR="005076FA" w:rsidP="005076FA" w14:paraId="1CB267E2" w14:textId="77777777">
      <w:pPr>
        <w:jc w:val="both"/>
        <w:rPr>
          <w:rFonts w:ascii="Arial" w:hAnsi="Arial" w:cs="Arial"/>
        </w:rPr>
      </w:pPr>
    </w:p>
    <w:p w:rsidR="005076FA" w:rsidRPr="00CA2292" w:rsidP="005076FA" w14:paraId="0051D629" w14:textId="77777777">
      <w:pPr>
        <w:jc w:val="center"/>
        <w:rPr>
          <w:rFonts w:ascii="Arial" w:hAnsi="Arial" w:cs="Arial"/>
        </w:rPr>
      </w:pPr>
    </w:p>
    <w:p w:rsidR="00CA2292" w:rsidRPr="00CA2292" w:rsidP="005076FA" w14:paraId="5DA5C1A5" w14:textId="6C9976AE">
      <w:pPr>
        <w:jc w:val="center"/>
        <w:rPr>
          <w:rFonts w:ascii="Arial" w:hAnsi="Arial" w:cs="Arial"/>
        </w:rPr>
      </w:pPr>
      <w:r w:rsidRPr="00CA2292">
        <w:rPr>
          <w:rFonts w:ascii="Arial" w:hAnsi="Arial" w:cs="Arial"/>
        </w:rPr>
        <w:t>Sala das sessões, 0</w:t>
      </w:r>
      <w:r w:rsidRPr="005076FA" w:rsidR="008E3380">
        <w:rPr>
          <w:rFonts w:ascii="Arial" w:hAnsi="Arial" w:cs="Arial"/>
        </w:rPr>
        <w:t>5</w:t>
      </w:r>
      <w:r w:rsidRPr="00CA2292">
        <w:rPr>
          <w:rFonts w:ascii="Arial" w:hAnsi="Arial" w:cs="Arial"/>
        </w:rPr>
        <w:t xml:space="preserve"> de </w:t>
      </w:r>
      <w:r w:rsidRPr="005076FA" w:rsidR="008E3380">
        <w:rPr>
          <w:rFonts w:ascii="Arial" w:hAnsi="Arial" w:cs="Arial"/>
        </w:rPr>
        <w:t>Junho</w:t>
      </w:r>
      <w:r w:rsidRPr="005076FA" w:rsidR="008E3380">
        <w:rPr>
          <w:rFonts w:ascii="Arial" w:hAnsi="Arial" w:cs="Arial"/>
        </w:rPr>
        <w:t xml:space="preserve"> </w:t>
      </w:r>
      <w:r w:rsidRPr="00CA2292">
        <w:rPr>
          <w:rFonts w:ascii="Arial" w:hAnsi="Arial" w:cs="Arial"/>
        </w:rPr>
        <w:t>de 2025.</w:t>
      </w:r>
    </w:p>
    <w:p w:rsidR="00CA2292" w:rsidRPr="00CA2292" w:rsidP="005076FA" w14:paraId="3B02C22A" w14:textId="77777777">
      <w:pPr>
        <w:jc w:val="center"/>
        <w:rPr>
          <w:rFonts w:ascii="Arial" w:hAnsi="Arial" w:cs="Arial"/>
        </w:rPr>
      </w:pPr>
    </w:p>
    <w:p w:rsidR="00CA2292" w:rsidRPr="00CA2292" w:rsidP="005076FA" w14:paraId="647CF889" w14:textId="77777777">
      <w:pPr>
        <w:jc w:val="center"/>
        <w:rPr>
          <w:rFonts w:ascii="Arial" w:hAnsi="Arial" w:cs="Arial"/>
        </w:rPr>
      </w:pPr>
    </w:p>
    <w:p w:rsidR="00CA2292" w:rsidRPr="00CA2292" w:rsidP="005076FA" w14:paraId="29579EA0" w14:textId="77777777">
      <w:pPr>
        <w:jc w:val="center"/>
        <w:rPr>
          <w:rFonts w:ascii="Arial" w:hAnsi="Arial" w:cs="Arial"/>
          <w:b/>
          <w:bCs/>
        </w:rPr>
      </w:pPr>
      <w:r w:rsidRPr="00CA2292">
        <w:rPr>
          <w:rFonts w:ascii="Arial" w:hAnsi="Arial" w:cs="Arial"/>
          <w:b/>
          <w:bCs/>
        </w:rPr>
        <w:t>HÉLIO SILVA</w:t>
      </w:r>
    </w:p>
    <w:p w:rsidR="00CA2292" w:rsidRPr="00CA2292" w:rsidP="005076FA" w14:paraId="216D2775" w14:textId="77777777">
      <w:pPr>
        <w:jc w:val="center"/>
        <w:rPr>
          <w:rFonts w:ascii="Arial" w:hAnsi="Arial" w:cs="Arial"/>
          <w:b/>
          <w:bCs/>
        </w:rPr>
      </w:pPr>
      <w:r w:rsidRPr="00CA2292">
        <w:rPr>
          <w:rFonts w:ascii="Arial" w:hAnsi="Arial" w:cs="Arial"/>
          <w:b/>
          <w:bCs/>
        </w:rPr>
        <w:t>VEREADOR PRESIDENTE</w:t>
      </w:r>
    </w:p>
    <w:p w:rsidR="00CA2292" w:rsidRPr="00CA2292" w:rsidP="005076FA" w14:paraId="738F8A58" w14:textId="77777777">
      <w:pPr>
        <w:jc w:val="both"/>
        <w:rPr>
          <w:rFonts w:ascii="Arial" w:hAnsi="Arial" w:cs="Arial"/>
        </w:rPr>
      </w:pPr>
    </w:p>
    <w:permEnd w:id="0"/>
    <w:p w:rsidR="00CA2292" w:rsidRPr="005076FA" w:rsidP="005076FA" w14:paraId="561C7CBE" w14:textId="77777777">
      <w:pPr>
        <w:jc w:val="both"/>
        <w:rPr>
          <w:rFonts w:ascii="Arial" w:hAnsi="Arial" w:cs="Arial"/>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0830540" name="Imagem 1083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94372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6943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154D29"/>
    <w:multiLevelType w:val="hybridMultilevel"/>
    <w:tmpl w:val="535C4FDE"/>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203FD"/>
    <w:rsid w:val="000D2BDC"/>
    <w:rsid w:val="000D502F"/>
    <w:rsid w:val="00104AAA"/>
    <w:rsid w:val="0012093D"/>
    <w:rsid w:val="00144F66"/>
    <w:rsid w:val="0015657E"/>
    <w:rsid w:val="00156CF8"/>
    <w:rsid w:val="00193534"/>
    <w:rsid w:val="00194171"/>
    <w:rsid w:val="001A0F16"/>
    <w:rsid w:val="001E6099"/>
    <w:rsid w:val="002154E8"/>
    <w:rsid w:val="002C742D"/>
    <w:rsid w:val="00315064"/>
    <w:rsid w:val="003B0E29"/>
    <w:rsid w:val="003C1AA4"/>
    <w:rsid w:val="003E72A6"/>
    <w:rsid w:val="00416191"/>
    <w:rsid w:val="00460A32"/>
    <w:rsid w:val="004B2CC9"/>
    <w:rsid w:val="004D1E85"/>
    <w:rsid w:val="004F40FD"/>
    <w:rsid w:val="004F6401"/>
    <w:rsid w:val="004F741D"/>
    <w:rsid w:val="005076FA"/>
    <w:rsid w:val="0051286F"/>
    <w:rsid w:val="00551FD5"/>
    <w:rsid w:val="0057433F"/>
    <w:rsid w:val="00596DB8"/>
    <w:rsid w:val="00601B0A"/>
    <w:rsid w:val="00626437"/>
    <w:rsid w:val="00632FA0"/>
    <w:rsid w:val="00654476"/>
    <w:rsid w:val="00663796"/>
    <w:rsid w:val="006C41A4"/>
    <w:rsid w:val="006C54A7"/>
    <w:rsid w:val="006D1E9A"/>
    <w:rsid w:val="00781F6E"/>
    <w:rsid w:val="007E1960"/>
    <w:rsid w:val="0081017D"/>
    <w:rsid w:val="00822396"/>
    <w:rsid w:val="008901F3"/>
    <w:rsid w:val="008A541B"/>
    <w:rsid w:val="008D2602"/>
    <w:rsid w:val="008D7B27"/>
    <w:rsid w:val="008E3380"/>
    <w:rsid w:val="009407DE"/>
    <w:rsid w:val="00957189"/>
    <w:rsid w:val="00992615"/>
    <w:rsid w:val="009E6F9F"/>
    <w:rsid w:val="00A06CF2"/>
    <w:rsid w:val="00A37816"/>
    <w:rsid w:val="00A50233"/>
    <w:rsid w:val="00A77154"/>
    <w:rsid w:val="00A84D81"/>
    <w:rsid w:val="00AE6AEE"/>
    <w:rsid w:val="00B5174B"/>
    <w:rsid w:val="00B51D25"/>
    <w:rsid w:val="00BB1BB4"/>
    <w:rsid w:val="00C00C1E"/>
    <w:rsid w:val="00C1256C"/>
    <w:rsid w:val="00C36776"/>
    <w:rsid w:val="00CA2292"/>
    <w:rsid w:val="00CD0695"/>
    <w:rsid w:val="00CD6B58"/>
    <w:rsid w:val="00CE34C4"/>
    <w:rsid w:val="00CF401E"/>
    <w:rsid w:val="00D31228"/>
    <w:rsid w:val="00DD13EE"/>
    <w:rsid w:val="00DD5C7A"/>
    <w:rsid w:val="00E0404D"/>
    <w:rsid w:val="00E107AF"/>
    <w:rsid w:val="00E17BB5"/>
    <w:rsid w:val="00E6424E"/>
    <w:rsid w:val="00E72BE9"/>
    <w:rsid w:val="00F023F2"/>
    <w:rsid w:val="00F802F3"/>
    <w:rsid w:val="00FB28F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istParagraph">
    <w:name w:val="List Paragraph"/>
    <w:basedOn w:val="Normal"/>
    <w:uiPriority w:val="34"/>
    <w:qFormat/>
    <w:locked/>
    <w:rsid w:val="00781F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DD23A-8066-444A-B0FC-6D30E7968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800</Words>
  <Characters>4323</Characters>
  <Application>Microsoft Office Word</Application>
  <DocSecurity>8</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Gustavo Almeida - Secretaria - CMS</cp:lastModifiedBy>
  <cp:revision>2</cp:revision>
  <cp:lastPrinted>2025-06-05T14:16:00Z</cp:lastPrinted>
  <dcterms:created xsi:type="dcterms:W3CDTF">2025-06-05T14:22:00Z</dcterms:created>
  <dcterms:modified xsi:type="dcterms:W3CDTF">2025-06-05T14:22:00Z</dcterms:modified>
</cp:coreProperties>
</file>