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352/2025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a criar o Fundo orçamentário e financeiro especial de investimentos em direitos creditórios e a ceder,  a titulo oneroso, os direitos creditórios originários de créditos tributários e não tributários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