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52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criar o Fundo orçamentário e financeiro especial de investimentos em direitos creditórios e a ceder,  a titulo oneroso, os direitos creditórios originários de créditos tributários e não tributários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