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junho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350/2025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350/2025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presença de um profissional nutricionista em cada região administrativa do município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