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350/2025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350/2025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presença de um profissional nutricionista em cada região administrativa do município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