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9D940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A0AFD">
        <w:rPr>
          <w:rFonts w:ascii="Arial" w:eastAsia="Arial" w:hAnsi="Arial" w:cs="Arial"/>
          <w:b/>
          <w:i/>
          <w:color w:val="000000"/>
          <w:szCs w:val="24"/>
        </w:rPr>
        <w:t>100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117EC26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limpeza </w:t>
      </w:r>
      <w:r w:rsidR="00DB4FD4">
        <w:rPr>
          <w:rFonts w:ascii="Arial" w:hAnsi="Arial" w:cs="Arial"/>
          <w:szCs w:val="24"/>
        </w:rPr>
        <w:t>e retirada de entulho</w:t>
      </w:r>
      <w:r>
        <w:rPr>
          <w:rFonts w:ascii="Arial" w:hAnsi="Arial" w:cs="Arial"/>
          <w:szCs w:val="24"/>
        </w:rPr>
        <w:t xml:space="preserve"> na </w:t>
      </w:r>
      <w:r w:rsidR="0072381D">
        <w:rPr>
          <w:rFonts w:ascii="Arial" w:hAnsi="Arial" w:cs="Arial"/>
          <w:szCs w:val="24"/>
        </w:rPr>
        <w:t xml:space="preserve">Rua </w:t>
      </w:r>
      <w:r w:rsidR="009A0AFD">
        <w:rPr>
          <w:rFonts w:ascii="Arial" w:hAnsi="Arial" w:cs="Arial"/>
          <w:szCs w:val="24"/>
        </w:rPr>
        <w:t>Lindario</w:t>
      </w:r>
      <w:r w:rsidR="009A0AFD">
        <w:rPr>
          <w:rFonts w:ascii="Arial" w:hAnsi="Arial" w:cs="Arial"/>
          <w:szCs w:val="24"/>
        </w:rPr>
        <w:t xml:space="preserve"> </w:t>
      </w:r>
      <w:r w:rsidR="009A0AFD">
        <w:rPr>
          <w:rFonts w:ascii="Arial" w:hAnsi="Arial" w:cs="Arial"/>
          <w:szCs w:val="24"/>
        </w:rPr>
        <w:t>Parmegiani</w:t>
      </w:r>
      <w:r w:rsidR="009A0AFD">
        <w:rPr>
          <w:rFonts w:ascii="Arial" w:hAnsi="Arial" w:cs="Arial"/>
          <w:szCs w:val="24"/>
        </w:rPr>
        <w:t xml:space="preserve"> Constantino, ao lado do número 415, no Bairro Parque </w:t>
      </w:r>
      <w:r w:rsidR="009A0AFD">
        <w:rPr>
          <w:rFonts w:ascii="Arial" w:hAnsi="Arial" w:cs="Arial"/>
          <w:szCs w:val="24"/>
        </w:rPr>
        <w:t>Italia</w:t>
      </w:r>
      <w:r w:rsidR="009A0AFD">
        <w:rPr>
          <w:rFonts w:ascii="Arial" w:hAnsi="Arial" w:cs="Arial"/>
          <w:szCs w:val="24"/>
        </w:rPr>
        <w:t xml:space="preserve"> (Nova Veneza).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3BE5957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 e gerando insegurança.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6F7A99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A0AFD">
        <w:rPr>
          <w:rFonts w:ascii="Arial" w:hAnsi="Arial" w:cs="Arial"/>
          <w:szCs w:val="24"/>
        </w:rPr>
        <w:t>26 de maio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6D1E9A" w:rsidRPr="00601B0A" w:rsidP="009A0AFD" w14:paraId="07A8F1E3" w14:textId="7A10D7DD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900430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74628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D2BDC"/>
    <w:rsid w:val="00104AAA"/>
    <w:rsid w:val="001322FD"/>
    <w:rsid w:val="0015657E"/>
    <w:rsid w:val="00156CF8"/>
    <w:rsid w:val="002A7F65"/>
    <w:rsid w:val="004146D7"/>
    <w:rsid w:val="004522EA"/>
    <w:rsid w:val="00460A32"/>
    <w:rsid w:val="004B2CC9"/>
    <w:rsid w:val="0051286F"/>
    <w:rsid w:val="00601B0A"/>
    <w:rsid w:val="00626437"/>
    <w:rsid w:val="00632FA0"/>
    <w:rsid w:val="006455D3"/>
    <w:rsid w:val="006C41A4"/>
    <w:rsid w:val="006D1E9A"/>
    <w:rsid w:val="0072381D"/>
    <w:rsid w:val="007C290C"/>
    <w:rsid w:val="00822396"/>
    <w:rsid w:val="008F7E25"/>
    <w:rsid w:val="00913A6D"/>
    <w:rsid w:val="00957951"/>
    <w:rsid w:val="0097160D"/>
    <w:rsid w:val="00990AB8"/>
    <w:rsid w:val="009A0AFD"/>
    <w:rsid w:val="009B3B9E"/>
    <w:rsid w:val="009C747B"/>
    <w:rsid w:val="00A06CF2"/>
    <w:rsid w:val="00A07F93"/>
    <w:rsid w:val="00A74094"/>
    <w:rsid w:val="00AE6AEE"/>
    <w:rsid w:val="00B06D2F"/>
    <w:rsid w:val="00BC0668"/>
    <w:rsid w:val="00C00C1E"/>
    <w:rsid w:val="00C36776"/>
    <w:rsid w:val="00C64BDF"/>
    <w:rsid w:val="00CD6B58"/>
    <w:rsid w:val="00CF401E"/>
    <w:rsid w:val="00D421A7"/>
    <w:rsid w:val="00DB4FD4"/>
    <w:rsid w:val="00DC6058"/>
    <w:rsid w:val="00E076BA"/>
    <w:rsid w:val="00E1700F"/>
    <w:rsid w:val="00E51DA3"/>
    <w:rsid w:val="00E70753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2025-05-26T11:54:00Z</dcterms:created>
  <dcterms:modified xsi:type="dcterms:W3CDTF">2025-05-26T11:54:00Z</dcterms:modified>
</cp:coreProperties>
</file>