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Solicitação de Melhorias Viárias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– Estrada Mineko Ito - Nova Veneza.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Nos termos dos artigos 203 a 205 do Regimento Interno desta Casa de Leis, solicito a Vossa Excelência o envio desta propositura ao Excelentíssimo Senhor Prefeito Municipal indicando Melhorias Viárias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– Estrada Mineko Ito - Nova Veneza.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trecho apresenta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inclinação acentuada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asfalto irregular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agravado pela presença de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valeta</w:t>
      </w:r>
      <w:r w:rsidRPr="00000000">
        <w:rPr>
          <w:rFonts w:ascii="Arial" w:eastAsia="Arial" w:hAnsi="Arial" w:cs="Arial"/>
          <w:sz w:val="24"/>
          <w:szCs w:val="24"/>
          <w:rtl w:val="0"/>
        </w:rPr>
        <w:t>, o que tem causado dificuldades no tráfego e oferece risco de acidentes, especialmente para veículos de menor porte.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Solicitamos, portanto, avaliação técnica e eventual correção da pavimentação e da geometria do retorno, a fim de garantir maior segurança para os motoristas que utilizam o local diariamente.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maio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43026078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8115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769139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40476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1760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997602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6270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6486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