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atividades extracurriculares no contraturno escolar nas escolas da rede pública municipal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