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de multa por abandono de animais com o uso de veículos automotores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