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instituição de multa por abandono de animais com o uso de veículos automotores no Município de Sumaré e dá outras providências”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spacing w:before="240" w:after="240"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estabelecida a aplicação de sanção administrativa, na forma de multa, a toda pessoa física ou jurídica que utilizar veículo automotor para abandonar animais em vias públicas, áreas rurais, terrenos baldios ou qualquer localidade dentro do território do Município de Sumaré.</w:t>
      </w:r>
    </w:p>
    <w:p w:rsidR="00000000" w:rsidRPr="00000000" w:rsidP="00000000" w14:paraId="0000000A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os fins desta Lei, considera-se: </w:t>
      </w:r>
    </w:p>
    <w:p w:rsidR="00000000" w:rsidRPr="00000000" w:rsidP="00000000" w14:paraId="0000000B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Abandono com uso de veículo: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ato de deixar animal(is) desamparado(s) em local público ou privado, utilizando-se de veículo automotor como meio para o transporte do animal até o local de abandono ou para facilitar a fuga do infrator após o ato. </w:t>
      </w:r>
    </w:p>
    <w:p w:rsidR="00000000" w:rsidRPr="00000000" w:rsidP="00000000" w14:paraId="0000000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Veículo automotor: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qualquer veículo de propulsão motorizada utilizado para o transporte de pessoas ou cargas, incluindo carros, motocicletas, caminhonetes, caminhões e similares. </w:t>
      </w:r>
    </w:p>
    <w:p w:rsidR="00000000" w:rsidRPr="00000000" w:rsidP="00000000" w14:paraId="0000000D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infração disposta no Art. 1º desta Lei será punida com multa no valor de 200 UFMS (Unidade Fiscal do Município de Sumaré) por animal abandonado. </w:t>
      </w:r>
    </w:p>
    <w:p w:rsidR="00000000" w:rsidRPr="00000000" w:rsidP="00000000" w14:paraId="0000000F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1º Em caso de reincidência, o valor da multa será dobrado. </w:t>
      </w:r>
    </w:p>
    <w:p w:rsidR="00000000" w:rsidRPr="00000000" w:rsidP="00000000" w14:paraId="00000010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§ 2º Se em razão do abandono ocorrer lesão ou morte do animal, a multa será triplicada. </w:t>
      </w:r>
    </w:p>
    <w:p w:rsidR="00000000" w:rsidRPr="00000000" w:rsidP="00000000" w14:paraId="00000011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3º Se o abandono envolver mais de um animal na mesma ocorrência, a multa será aplicada individualmente por cada animal abandonado.</w:t>
      </w:r>
    </w:p>
    <w:p w:rsidR="00000000" w:rsidRPr="00000000" w:rsidP="00000000" w14:paraId="00000012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identificação do infrator poderá ser realizada por meio de: </w:t>
      </w:r>
    </w:p>
    <w:p w:rsidR="00000000" w:rsidRPr="00000000" w:rsidP="00000000" w14:paraId="00000013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- Flagrante delito por agentes de fiscalização municipal, incluindo policiais municipais e fiscais do Município de Sumaré. </w:t>
      </w:r>
    </w:p>
    <w:p w:rsidR="00000000" w:rsidRPr="00000000" w:rsidP="00000000" w14:paraId="00000014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- Denúncias comprovadas por meio de vídeos que permitam a identificação inequívoca do veículo (placa, modelo, cor) e/ou do condutor/passageiro envolvido no ato do abandono. </w:t>
      </w:r>
    </w:p>
    <w:p w:rsidR="00000000" w:rsidRPr="00000000" w:rsidP="00000000" w14:paraId="00000015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Imagens de câmeras de segurança públicas ou privadas.</w:t>
      </w:r>
    </w:p>
    <w:p w:rsidR="00000000" w:rsidRPr="00000000" w:rsidP="00000000" w14:paraId="00000016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Constatada a infração, o proprietário do veículo automotor utilizado no abandono será notificado para apresentar defesa prévia no prazo de 15 (quinze) dias. </w:t>
      </w:r>
    </w:p>
    <w:p w:rsidR="00000000" w:rsidRPr="00000000" w:rsidP="00000000" w14:paraId="00000017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Parágrafo único. </w:t>
      </w:r>
      <w:r w:rsidRPr="00000000">
        <w:rPr>
          <w:rFonts w:ascii="Arial" w:eastAsia="Arial" w:hAnsi="Arial" w:cs="Arial"/>
          <w:sz w:val="24"/>
          <w:szCs w:val="24"/>
          <w:rtl w:val="0"/>
        </w:rPr>
        <w:t>Caso não seja possível identificar o autor do abandono, a multa será aplicada ao proprietário do veículo automotor utilizado na ação.</w:t>
      </w:r>
    </w:p>
    <w:p w:rsidR="00000000" w:rsidRPr="00000000" w:rsidP="00000000" w14:paraId="00000018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recursos arrecadados com as multas previstas nesta Lei serão destinados ao Fundo Municipal de Bem-Estar Animal para custear programas e ações de proteção, acolhimento, castração, tratamento e adoção de animais no Município.</w:t>
      </w:r>
    </w:p>
    <w:p w:rsidR="00000000" w:rsidRPr="00000000" w:rsidP="00000000" w14:paraId="00000019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aplicação da sanção administrativa prevista nesta Lei não isenta o infrator das responsabilidades civis e criminais cabíveis e demais legislações pertinentes.</w:t>
      </w:r>
    </w:p>
    <w:p w:rsidR="00000000" w:rsidRPr="00000000" w:rsidP="00000000" w14:paraId="0000001A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Municipal regulamentará a presente Lei no que couber, no prazo de 90 (noventa) dias a contar da data de sua publicação.</w:t>
      </w:r>
    </w:p>
    <w:p w:rsidR="00000000" w:rsidRPr="00000000" w:rsidP="00000000" w14:paraId="0000001B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9º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15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1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0">
      <w:pPr>
        <w:jc w:val="center"/>
        <w:rPr>
          <w:color w:val="000000"/>
        </w:rPr>
      </w:pPr>
    </w:p>
    <w:p w:rsidR="00000000" w:rsidRPr="00000000" w:rsidP="00000000" w14:paraId="00000021">
      <w:pPr>
        <w:jc w:val="center"/>
      </w:pPr>
      <w:r w:rsidRPr="00000000">
        <w:br w:type="page"/>
      </w:r>
    </w:p>
    <w:p w:rsidR="00000000" w:rsidRPr="00000000" w:rsidP="00000000" w14:paraId="00000022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5">
      <w:pPr>
        <w:spacing w:before="240" w:after="24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abandono de animais é um ato cruel que gera graves consequências para a saúde pública, segurança viária e, principalmente, para o bem-estar dos animais, que ficam expostos à fome, sede, doenças, atropelamentos e maus-tratos. O uso de veículos automotores para cometer tal ato agrava a situação, pois facilita a fuga do infrator e, muitas vezes, permite que os animais sejam deixados em locais ermos e de difícil acesso, diminuindo suas chances de sobrevivência e resgate.</w:t>
      </w:r>
    </w:p>
    <w:p w:rsidR="00000000" w:rsidRPr="00000000" w:rsidP="00000000" w14:paraId="00000026">
      <w:pPr>
        <w:spacing w:before="240" w:after="24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Faz-se necessária uma legislação específica para coibir e punir de forma mais direta e eficaz o abandono de animais realizado com o auxílio de veículos, estabelecendo uma sanção administrativa pecuniária clara e robusta no âmbito municipal.</w:t>
      </w:r>
    </w:p>
    <w:p w:rsidR="00000000" w:rsidRPr="00000000" w:rsidP="00000000" w14:paraId="00000027">
      <w:pPr>
        <w:spacing w:before="240" w:after="24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Projetos de lei em âmbito nacional buscam classificar tal conduta como infração de trânsito, o que demonstra a crescente preocupação da sociedade e do poder público com essa prática. Este projeto de lei municipal visa complementar essas iniciativas, fortalecendo os instrumentos de combate ao abandono de animais em Sumaré.</w:t>
      </w:r>
    </w:p>
    <w:p w:rsidR="00000000" w:rsidRPr="00000000" w:rsidP="00000000" w14:paraId="00000028">
      <w:pPr>
        <w:spacing w:before="240" w:after="24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aplicação de multas e a destinação dos recursos para o bem-estar animal não apenas punirão os infratores, mas também gerarão receita para investimentos em políticas públicas essenciais para a causa animal em nosso município.</w:t>
      </w:r>
    </w:p>
    <w:p w:rsidR="00000000" w:rsidRPr="00000000" w:rsidP="00000000" w14:paraId="00000029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15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2D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E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805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459079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42994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r w:rsidRPr="00000000">
      <w:drawing>
        <wp:inline distT="0" distB="0" distL="0" distR="0">
          <wp:extent cx="1526058" cy="534121"/>
          <wp:effectExtent l="0" t="0" r="0" b="0"/>
          <wp:docPr id="162119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8409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3963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940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jOcC7fWcLn2GAgH8PMYYzTvpA==">CgMxLjAyCWguM3pueXNoNzgAciExYlFnZ3N5ZVozMko2UGFuRkFnbXhBMGgzd2NrdWV5Wkk=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