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331/2025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no orçamento vigente no valor de R$ 1.599.006,52 (um milhão, quinhentos e noventa e nove mil, seis reais e cinquenta e dois centavos) para os fins que especifica e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