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Chico Mendes, 436 - Jardim Ipiranga.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Chico Mendes, 436 - Jardim Ipiranga.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buraco em questão tem comprometido a segurança dos motoristas, além de causar danos aos veículos que transitam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dessa situação, é imprescindível a realização de reparos urgentes para evitar que o problema se agrave ainda mais e para garantir a segurança e bem-estar dos usuários da via.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09 de maio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669177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42723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675481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168292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2411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019813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52900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52773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