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GÁS, PROF. EDINHO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fixação dos subsídios dos Secretários Municipais e Secretários Municipais Adjuntos.”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