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5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NEY DO GÁS, PROF. ED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Dispõe sobre a fixação dos subsídios dos Secretários Municipais e Secretários Municipais Adjuntos.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mai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