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maio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321/2025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321/2025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proibição da emissão de ruídos sonoros excessivos ou incômodos, a proteção da tranquilidade, do meio ambiente, do bem-estar e do sossego público no âmbito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